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0295" w:rsidRPr="003D722E" w:rsidRDefault="00C30295" w:rsidP="00970EEA">
      <w:pPr>
        <w:pStyle w:val="FP"/>
        <w:tabs>
          <w:tab w:val="left" w:pos="567"/>
        </w:tabs>
        <w:snapToGrid w:val="0"/>
        <w:spacing w:line="264" w:lineRule="auto"/>
        <w:rPr>
          <w:rFonts w:ascii="Arial" w:hAnsi="Arial" w:cs="Arial"/>
          <w:b/>
          <w:sz w:val="24"/>
          <w:szCs w:val="24"/>
        </w:rPr>
      </w:pPr>
      <w:r w:rsidRPr="00C445AD">
        <w:rPr>
          <w:rFonts w:ascii="Arial" w:hAnsi="Arial" w:cs="Arial"/>
          <w:b/>
          <w:sz w:val="24"/>
          <w:szCs w:val="24"/>
        </w:rPr>
        <w:t>3GPP TSG RAN meeting #</w:t>
      </w:r>
      <w:r w:rsidR="00E00B17">
        <w:rPr>
          <w:rFonts w:ascii="Arial" w:hAnsi="Arial" w:cs="Arial"/>
          <w:b/>
          <w:sz w:val="24"/>
          <w:szCs w:val="24"/>
        </w:rPr>
        <w:t>77</w:t>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Pr="00C445AD">
        <w:rPr>
          <w:rFonts w:ascii="Arial" w:hAnsi="Arial" w:cs="Arial"/>
          <w:b/>
          <w:sz w:val="24"/>
          <w:szCs w:val="24"/>
        </w:rPr>
        <w:tab/>
      </w:r>
      <w:r w:rsidR="003D722E">
        <w:rPr>
          <w:rFonts w:ascii="Arial" w:hAnsi="Arial" w:cs="Arial"/>
          <w:b/>
          <w:sz w:val="24"/>
          <w:szCs w:val="24"/>
        </w:rPr>
        <w:t>RP-17</w:t>
      </w:r>
      <w:r w:rsidR="00F5124D">
        <w:rPr>
          <w:rFonts w:ascii="Arial" w:hAnsi="Arial" w:cs="Arial"/>
          <w:b/>
          <w:sz w:val="24"/>
          <w:szCs w:val="24"/>
        </w:rPr>
        <w:t>1720</w:t>
      </w:r>
    </w:p>
    <w:p w:rsidR="00C30295" w:rsidRPr="004B566C" w:rsidRDefault="00E00B17" w:rsidP="00970EEA">
      <w:pPr>
        <w:tabs>
          <w:tab w:val="left" w:pos="567"/>
        </w:tabs>
        <w:snapToGrid w:val="0"/>
        <w:spacing w:line="264" w:lineRule="auto"/>
        <w:rPr>
          <w:rFonts w:ascii="Arial" w:hAnsi="Arial" w:cs="Arial"/>
          <w:b/>
          <w:sz w:val="24"/>
        </w:rPr>
      </w:pPr>
      <w:r>
        <w:rPr>
          <w:rFonts w:ascii="Arial" w:hAnsi="Arial" w:cs="Arial"/>
          <w:b/>
          <w:sz w:val="24"/>
        </w:rPr>
        <w:t>Sapporo</w:t>
      </w:r>
      <w:r w:rsidR="003D722E" w:rsidRPr="009178FD">
        <w:rPr>
          <w:rFonts w:ascii="Arial" w:hAnsi="Arial" w:cs="Arial"/>
          <w:b/>
          <w:sz w:val="24"/>
        </w:rPr>
        <w:t xml:space="preserve">, </w:t>
      </w:r>
      <w:r>
        <w:rPr>
          <w:rFonts w:ascii="Arial" w:hAnsi="Arial" w:cs="Arial"/>
          <w:b/>
          <w:sz w:val="24"/>
        </w:rPr>
        <w:t>Japan, September</w:t>
      </w:r>
      <w:r w:rsidR="003D722E" w:rsidRPr="009178FD">
        <w:rPr>
          <w:rFonts w:ascii="Arial" w:hAnsi="Arial" w:cs="Arial"/>
          <w:b/>
          <w:sz w:val="24"/>
        </w:rPr>
        <w:t xml:space="preserve"> </w:t>
      </w:r>
      <w:r>
        <w:rPr>
          <w:rFonts w:ascii="Arial" w:hAnsi="Arial" w:cs="Arial"/>
          <w:b/>
          <w:sz w:val="24"/>
        </w:rPr>
        <w:t>11</w:t>
      </w:r>
      <w:r w:rsidR="003D722E" w:rsidRPr="009178FD">
        <w:rPr>
          <w:rFonts w:ascii="Arial" w:hAnsi="Arial" w:cs="Arial"/>
          <w:b/>
          <w:sz w:val="24"/>
        </w:rPr>
        <w:t>-</w:t>
      </w:r>
      <w:r>
        <w:rPr>
          <w:rFonts w:ascii="Arial" w:hAnsi="Arial" w:cs="Arial"/>
          <w:b/>
          <w:sz w:val="24"/>
        </w:rPr>
        <w:t>15</w:t>
      </w:r>
      <w:r w:rsidR="003D722E" w:rsidRPr="009178FD">
        <w:rPr>
          <w:rFonts w:ascii="Arial" w:hAnsi="Arial" w:cs="Arial"/>
          <w:b/>
          <w:sz w:val="24"/>
        </w:rPr>
        <w:t>, 2017</w:t>
      </w:r>
    </w:p>
    <w:p w:rsidR="006F4BF4" w:rsidRPr="0017373B"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r w:rsidR="00CF0172">
        <w:rPr>
          <w:rFonts w:cs="Arial"/>
          <w:sz w:val="24"/>
        </w:rPr>
        <w:t>, Sanechips</w:t>
      </w:r>
    </w:p>
    <w:p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0" w:name="Title"/>
      <w:bookmarkEnd w:id="0"/>
      <w:r w:rsidRPr="0017373B">
        <w:rPr>
          <w:rFonts w:cs="Arial"/>
          <w:sz w:val="24"/>
        </w:rPr>
        <w:tab/>
      </w:r>
      <w:r w:rsidR="00F5124D" w:rsidRPr="00F5124D">
        <w:rPr>
          <w:rFonts w:cs="Arial"/>
          <w:sz w:val="24"/>
        </w:rPr>
        <w:t>Discussion on working scope of NR WID</w:t>
      </w:r>
    </w:p>
    <w:p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1" w:name="Source"/>
      <w:bookmarkEnd w:id="1"/>
      <w:r w:rsidRPr="0017373B">
        <w:rPr>
          <w:rFonts w:cs="Arial"/>
          <w:sz w:val="24"/>
        </w:rPr>
        <w:tab/>
      </w:r>
      <w:r w:rsidR="00F5124D">
        <w:rPr>
          <w:rFonts w:cs="Arial"/>
          <w:sz w:val="24"/>
        </w:rPr>
        <w:t>9.2.1</w:t>
      </w:r>
    </w:p>
    <w:p w:rsidR="006F4BF4" w:rsidRPr="00F13FB8" w:rsidRDefault="006F4BF4" w:rsidP="00970EEA">
      <w:pPr>
        <w:pStyle w:val="Header"/>
        <w:tabs>
          <w:tab w:val="left" w:pos="1800"/>
        </w:tabs>
        <w:snapToGrid w:val="0"/>
        <w:spacing w:line="264" w:lineRule="auto"/>
        <w:ind w:left="1800" w:hanging="1800"/>
        <w:outlineLvl w:val="0"/>
        <w:rPr>
          <w:rFonts w:eastAsia="宋体" w:cs="Arial"/>
          <w:sz w:val="24"/>
          <w:lang w:eastAsia="zh-CN"/>
        </w:rPr>
      </w:pPr>
      <w:r w:rsidRPr="0017373B">
        <w:rPr>
          <w:rFonts w:cs="Arial"/>
          <w:sz w:val="24"/>
        </w:rPr>
        <w:t>Document for:</w:t>
      </w:r>
      <w:r w:rsidRPr="0017373B">
        <w:rPr>
          <w:rFonts w:cs="Arial"/>
          <w:sz w:val="24"/>
        </w:rPr>
        <w:tab/>
      </w:r>
      <w:bookmarkStart w:id="2" w:name="DocumentFor"/>
      <w:bookmarkEnd w:id="2"/>
      <w:r w:rsidRPr="0017373B">
        <w:rPr>
          <w:rFonts w:cs="Arial"/>
          <w:sz w:val="24"/>
        </w:rPr>
        <w:t>Discussion</w:t>
      </w:r>
    </w:p>
    <w:p w:rsidR="00CB40E6" w:rsidRPr="00A079D3" w:rsidRDefault="00CB40E6" w:rsidP="00CB44B2">
      <w:pPr>
        <w:pBdr>
          <w:bottom w:val="single" w:sz="12" w:space="1" w:color="auto"/>
        </w:pBdr>
        <w:tabs>
          <w:tab w:val="left" w:pos="567"/>
        </w:tabs>
        <w:snapToGrid w:val="0"/>
        <w:spacing w:after="120"/>
      </w:pPr>
    </w:p>
    <w:p w:rsidR="00CB40E6" w:rsidRDefault="004F7FE5" w:rsidP="004A3A86">
      <w:pPr>
        <w:pStyle w:val="Heading3"/>
        <w:ind w:left="720" w:hanging="720"/>
      </w:pPr>
      <w:r w:rsidRPr="00A079D3">
        <w:t>1</w:t>
      </w:r>
      <w:r w:rsidRPr="00A079D3">
        <w:tab/>
      </w:r>
      <w:r w:rsidR="004B3C92">
        <w:t>Introduction</w:t>
      </w:r>
    </w:p>
    <w:p w:rsidR="001E10F6" w:rsidRDefault="00923B72" w:rsidP="0018544F">
      <w:pPr>
        <w:spacing w:after="0"/>
        <w:jc w:val="both"/>
      </w:pPr>
      <w:r>
        <w:t xml:space="preserve">According to NR WID </w:t>
      </w:r>
      <w:r w:rsidR="00F355AD">
        <w:fldChar w:fldCharType="begin"/>
      </w:r>
      <w:r>
        <w:instrText xml:space="preserve"> REF _Ref492212585 \r \h </w:instrText>
      </w:r>
      <w:r w:rsidR="00F355AD">
        <w:fldChar w:fldCharType="separate"/>
      </w:r>
      <w:r w:rsidR="00BD10E6">
        <w:t>[1]</w:t>
      </w:r>
      <w:r w:rsidR="00F355AD">
        <w:fldChar w:fldCharType="end"/>
      </w:r>
      <w:r>
        <w:t xml:space="preserve">, NR Rel-15 targets to </w:t>
      </w:r>
    </w:p>
    <w:p w:rsidR="00923B72" w:rsidRPr="00923B72" w:rsidRDefault="00923B72" w:rsidP="0018544F">
      <w:pPr>
        <w:pStyle w:val="B1"/>
        <w:numPr>
          <w:ilvl w:val="0"/>
          <w:numId w:val="37"/>
        </w:numPr>
        <w:spacing w:after="0"/>
        <w:ind w:left="1008"/>
        <w:rPr>
          <w:i/>
          <w:lang w:eastAsia="ja-JP"/>
        </w:rPr>
      </w:pPr>
      <w:r w:rsidRPr="00923B72">
        <w:rPr>
          <w:i/>
          <w:lang w:eastAsia="ja-JP"/>
        </w:rPr>
        <w:t xml:space="preserve">Complete </w:t>
      </w:r>
      <w:r w:rsidRPr="00923B72">
        <w:rPr>
          <w:rFonts w:hint="eastAsia"/>
          <w:i/>
          <w:lang w:eastAsia="ja-JP"/>
        </w:rPr>
        <w:t xml:space="preserve">Stage-3 of all </w:t>
      </w:r>
      <w:r w:rsidRPr="00923B72">
        <w:rPr>
          <w:i/>
          <w:lang w:eastAsia="ja-JP"/>
        </w:rPr>
        <w:t>Layer 1</w:t>
      </w:r>
      <w:r w:rsidRPr="00923B72">
        <w:rPr>
          <w:rFonts w:hint="eastAsia"/>
          <w:i/>
          <w:lang w:eastAsia="ja-JP"/>
        </w:rPr>
        <w:t xml:space="preserve"> and Layer </w:t>
      </w:r>
      <w:r w:rsidRPr="00923B72">
        <w:rPr>
          <w:i/>
          <w:lang w:eastAsia="ja-JP"/>
        </w:rPr>
        <w:t xml:space="preserve">2 </w:t>
      </w:r>
      <w:r w:rsidRPr="00923B72">
        <w:rPr>
          <w:rFonts w:hint="eastAsia"/>
          <w:i/>
          <w:lang w:eastAsia="ja-JP"/>
        </w:rPr>
        <w:t xml:space="preserve">user plane </w:t>
      </w:r>
      <w:r w:rsidRPr="00923B72">
        <w:rPr>
          <w:i/>
          <w:lang w:eastAsia="ja-JP"/>
        </w:rPr>
        <w:t xml:space="preserve">specifications </w:t>
      </w:r>
      <w:r w:rsidRPr="00923B72">
        <w:rPr>
          <w:rFonts w:eastAsia="Malgun Gothic" w:hint="eastAsia"/>
          <w:i/>
          <w:lang w:eastAsia="ko-KR"/>
        </w:rPr>
        <w:t xml:space="preserve">of eMBB including support of low latency </w:t>
      </w:r>
      <w:r w:rsidRPr="00923B72">
        <w:rPr>
          <w:rFonts w:hint="eastAsia"/>
          <w:i/>
          <w:lang w:eastAsia="ja-JP"/>
        </w:rPr>
        <w:t xml:space="preserve">for </w:t>
      </w:r>
      <w:r w:rsidRPr="00923B72">
        <w:rPr>
          <w:i/>
          <w:lang w:eastAsia="ja-JP"/>
        </w:rPr>
        <w:t xml:space="preserve">all </w:t>
      </w:r>
      <w:r>
        <w:rPr>
          <w:i/>
          <w:lang w:eastAsia="ja-JP"/>
        </w:rPr>
        <w:t xml:space="preserve">supported architecture options </w:t>
      </w:r>
      <w:r w:rsidRPr="00923B72">
        <w:rPr>
          <w:i/>
          <w:lang w:eastAsia="ja-JP"/>
        </w:rPr>
        <w:t>until December 2017</w:t>
      </w:r>
      <w:r w:rsidRPr="00923B72">
        <w:rPr>
          <w:rFonts w:hint="eastAsia"/>
          <w:i/>
          <w:lang w:eastAsia="ja-JP"/>
        </w:rPr>
        <w:t>.</w:t>
      </w:r>
    </w:p>
    <w:p w:rsidR="00923B72" w:rsidRPr="00923B72" w:rsidRDefault="00923B72" w:rsidP="0018544F">
      <w:pPr>
        <w:pStyle w:val="B1"/>
        <w:numPr>
          <w:ilvl w:val="0"/>
          <w:numId w:val="37"/>
        </w:numPr>
        <w:spacing w:after="0"/>
        <w:ind w:left="1008"/>
        <w:rPr>
          <w:i/>
          <w:lang w:eastAsia="ja-JP"/>
        </w:rPr>
      </w:pPr>
      <w:r w:rsidRPr="00923B72">
        <w:rPr>
          <w:i/>
          <w:lang w:eastAsia="ja-JP"/>
        </w:rPr>
        <w:t xml:space="preserve">Complete </w:t>
      </w:r>
      <w:r w:rsidRPr="00923B72">
        <w:rPr>
          <w:rFonts w:hint="eastAsia"/>
          <w:i/>
          <w:lang w:eastAsia="ja-JP"/>
        </w:rPr>
        <w:t>Stage-3 specifications on eMBB including support of low latency</w:t>
      </w:r>
      <w:r w:rsidRPr="00923B72">
        <w:rPr>
          <w:i/>
          <w:lang w:eastAsia="ja-JP"/>
        </w:rPr>
        <w:t xml:space="preserve"> for E-UTRA-NR DC via EPC where the E-UTRA is the master (</w:t>
      </w:r>
      <w:r w:rsidRPr="00923B72">
        <w:rPr>
          <w:i/>
        </w:rPr>
        <w:t>Option 3/3a/3x</w:t>
      </w:r>
      <w:r w:rsidRPr="00923B72">
        <w:rPr>
          <w:i/>
          <w:lang w:eastAsia="ja-JP"/>
        </w:rPr>
        <w:t>) until December 2017.</w:t>
      </w:r>
    </w:p>
    <w:p w:rsidR="00923B72" w:rsidRPr="00923B72" w:rsidRDefault="00923B72" w:rsidP="0018544F">
      <w:pPr>
        <w:pStyle w:val="B1"/>
        <w:numPr>
          <w:ilvl w:val="0"/>
          <w:numId w:val="37"/>
        </w:numPr>
        <w:spacing w:after="0"/>
        <w:ind w:left="1008"/>
        <w:rPr>
          <w:i/>
          <w:lang w:eastAsia="ja-JP"/>
        </w:rPr>
      </w:pPr>
      <w:r w:rsidRPr="00923B72">
        <w:rPr>
          <w:i/>
          <w:lang w:eastAsia="ja-JP"/>
        </w:rPr>
        <w:t>Complete all the core specifications for the other supported architecture options until June 2018.</w:t>
      </w:r>
    </w:p>
    <w:p w:rsidR="009042AC" w:rsidRPr="000B1994" w:rsidRDefault="00923B72" w:rsidP="0018544F">
      <w:pPr>
        <w:spacing w:after="0"/>
        <w:jc w:val="both"/>
      </w:pPr>
      <w:r>
        <w:t>Even though RAN WGs added several Ad-hoc meetings to speed up the specification work, down-scoping of NR features is another effective way to ensure NR time frame for Rel-15. This contribution discusses some NR features that could be considered for down-scoping.</w:t>
      </w:r>
    </w:p>
    <w:p w:rsidR="00A31492" w:rsidRDefault="00A31492" w:rsidP="004A3A86">
      <w:pPr>
        <w:pStyle w:val="Heading3"/>
        <w:ind w:left="720" w:hanging="720"/>
      </w:pPr>
      <w:r>
        <w:t>2</w:t>
      </w:r>
      <w:r w:rsidRPr="00A079D3">
        <w:tab/>
      </w:r>
      <w:r w:rsidR="00E00B17">
        <w:t xml:space="preserve">Views on </w:t>
      </w:r>
      <w:r w:rsidR="00E56039">
        <w:t xml:space="preserve">some </w:t>
      </w:r>
      <w:r w:rsidR="00E00B17">
        <w:t>NR features</w:t>
      </w:r>
    </w:p>
    <w:p w:rsidR="008C5F9D" w:rsidRDefault="00A675E8" w:rsidP="00F15EBC">
      <w:pPr>
        <w:pStyle w:val="Heading4"/>
      </w:pPr>
      <w:r>
        <w:t>2.</w:t>
      </w:r>
      <w:r w:rsidR="009D5A0F">
        <w:t>1</w:t>
      </w:r>
      <w:r w:rsidR="008C5F9D">
        <w:t>. NR-LTE coexistence with uplink sharing</w:t>
      </w:r>
    </w:p>
    <w:p w:rsidR="009E45AD" w:rsidRDefault="0068012E" w:rsidP="00B060AA">
      <w:pPr>
        <w:spacing w:after="0"/>
        <w:jc w:val="both"/>
      </w:pPr>
      <w:r>
        <w:rPr>
          <w:rFonts w:eastAsiaTheme="minorEastAsia" w:hint="eastAsia"/>
          <w:lang w:eastAsia="zh-CN"/>
        </w:rPr>
        <w:t>The</w:t>
      </w:r>
      <w:r w:rsidR="00471402">
        <w:t xml:space="preserve"> key point </w:t>
      </w:r>
      <w:r>
        <w:rPr>
          <w:rFonts w:eastAsiaTheme="minorEastAsia" w:hint="eastAsia"/>
          <w:lang w:eastAsia="zh-CN"/>
        </w:rPr>
        <w:t xml:space="preserve">of uplink sharing </w:t>
      </w:r>
      <w:r w:rsidR="00471402">
        <w:t xml:space="preserve">is to leave NR DL </w:t>
      </w:r>
      <w:r w:rsidR="00AF6307">
        <w:t>on a high frequency carrier</w:t>
      </w:r>
      <w:r w:rsidR="00471402">
        <w:t xml:space="preserve"> (e.g. </w:t>
      </w:r>
      <w:r w:rsidR="00AF6307">
        <w:t xml:space="preserve">in </w:t>
      </w:r>
      <w:r w:rsidR="00471402">
        <w:t xml:space="preserve">3.5GHz band) and to </w:t>
      </w:r>
      <w:r w:rsidR="00734CF8">
        <w:t>add a low frequency carrier</w:t>
      </w:r>
      <w:r w:rsidR="00471402">
        <w:t xml:space="preserve"> (e.g., 1.8GHz, 900MHz etc) for NR UL, where</w:t>
      </w:r>
      <w:r w:rsidR="00734CF8">
        <w:t xml:space="preserve"> that low frequency carrier is also used for</w:t>
      </w:r>
      <w:r w:rsidR="00471402">
        <w:t xml:space="preserve"> LTE UL. The motivation of UL sharing is to </w:t>
      </w:r>
      <w:r w:rsidR="009E45AD">
        <w:t xml:space="preserve">handle the DL/UL imbalance in NR high frequency band and to provide </w:t>
      </w:r>
      <w:r w:rsidR="00471402">
        <w:t>uplink coverage</w:t>
      </w:r>
      <w:r w:rsidR="009E45AD">
        <w:t xml:space="preserve"> enhancement</w:t>
      </w:r>
      <w:r w:rsidR="00471402">
        <w:t>.</w:t>
      </w:r>
      <w:r w:rsidR="009E45AD">
        <w:t xml:space="preserve"> </w:t>
      </w:r>
    </w:p>
    <w:p w:rsidR="00471402" w:rsidRDefault="00FD6EF9" w:rsidP="00B060AA">
      <w:pPr>
        <w:spacing w:after="0"/>
        <w:jc w:val="both"/>
      </w:pPr>
      <w:r>
        <w:t>However</w:t>
      </w:r>
      <w:r w:rsidR="009E45AD">
        <w:t>, our evaluation</w:t>
      </w:r>
      <w:r w:rsidR="007F7A53">
        <w:t>s</w:t>
      </w:r>
      <w:r w:rsidR="009E45AD">
        <w:t xml:space="preserve"> </w:t>
      </w:r>
      <w:r w:rsidR="007F7A53">
        <w:t xml:space="preserve">in RAN1 </w:t>
      </w:r>
      <w:r w:rsidR="00F355AD">
        <w:fldChar w:fldCharType="begin"/>
      </w:r>
      <w:r w:rsidR="007F7A53">
        <w:instrText xml:space="preserve"> REF _Ref491959634 \r \h </w:instrText>
      </w:r>
      <w:r w:rsidR="00F355AD">
        <w:fldChar w:fldCharType="separate"/>
      </w:r>
      <w:r w:rsidR="00BD10E6">
        <w:t>[2]</w:t>
      </w:r>
      <w:r w:rsidR="00F355AD">
        <w:fldChar w:fldCharType="end"/>
      </w:r>
      <w:r w:rsidR="00471402">
        <w:t xml:space="preserve"> </w:t>
      </w:r>
      <w:r w:rsidR="007F7A53">
        <w:t xml:space="preserve">show that the </w:t>
      </w:r>
      <w:r w:rsidR="00AF6307">
        <w:t xml:space="preserve">UPT </w:t>
      </w:r>
      <w:r w:rsidR="007F7A53">
        <w:t xml:space="preserve">gain in moving NR UL from 3.5GHz band to 900MHz/1800MHz band is quite limited. Depending on the </w:t>
      </w:r>
      <w:r w:rsidR="00084E45">
        <w:t xml:space="preserve">carrier frequency, </w:t>
      </w:r>
      <w:r w:rsidR="007F7A53">
        <w:t>system bandwidth and antenna configuration, this gain could be even negative. The reasons behind this observation is the massive MIMO and large bandwidth (e.g., up to 100MHz) on 3.5GHz UL, which can boost the received uplink signal, increase the channel selectivity gain and reduce the interference</w:t>
      </w:r>
      <w:r w:rsidR="00AF6307">
        <w:t xml:space="preserve"> and traffic blockage</w:t>
      </w:r>
      <w:r w:rsidR="007F7A53">
        <w:t xml:space="preserve">. </w:t>
      </w:r>
      <w:r>
        <w:t xml:space="preserve">This is to say, DL/UL imbalance </w:t>
      </w:r>
      <w:r w:rsidR="00083889">
        <w:t>could</w:t>
      </w:r>
      <w:r>
        <w:t xml:space="preserve"> be an issue on a frequency like 3.5GHz, but whether moving NR UL to a low frequency can </w:t>
      </w:r>
      <w:r w:rsidR="003A0415">
        <w:t xml:space="preserve">offer the </w:t>
      </w:r>
      <w:r w:rsidR="00083889">
        <w:t>solution</w:t>
      </w:r>
      <w:r w:rsidR="003A0415">
        <w:t xml:space="preserve"> deserving the cost (spectrum and complexity) is a different story</w:t>
      </w:r>
      <w:r>
        <w:t xml:space="preserve">. </w:t>
      </w:r>
      <w:r w:rsidR="00774672">
        <w:t xml:space="preserve">It </w:t>
      </w:r>
      <w:r w:rsidR="00083889">
        <w:t>may need</w:t>
      </w:r>
      <w:r w:rsidR="00B93704">
        <w:t xml:space="preserve"> more evaluations and studies</w:t>
      </w:r>
      <w:r w:rsidR="00774672">
        <w:t xml:space="preserve">. </w:t>
      </w:r>
      <w:r>
        <w:t xml:space="preserve"> </w:t>
      </w:r>
      <w:r w:rsidR="007F7A53">
        <w:t xml:space="preserve"> </w:t>
      </w:r>
    </w:p>
    <w:p w:rsidR="00471402" w:rsidRDefault="00FD6EF9" w:rsidP="00B060AA">
      <w:pPr>
        <w:spacing w:after="0"/>
        <w:jc w:val="both"/>
      </w:pPr>
      <w:r>
        <w:t xml:space="preserve">On the other hand, assume using a low frequency </w:t>
      </w:r>
      <w:r w:rsidR="00B93704">
        <w:t>is beneficial</w:t>
      </w:r>
      <w:r w:rsidR="00734CF8">
        <w:t xml:space="preserve"> for UL coverage,</w:t>
      </w:r>
      <w:r w:rsidR="00774672">
        <w:t xml:space="preserve"> quite some </w:t>
      </w:r>
      <w:r w:rsidR="00B651F3">
        <w:t>solutions besides UL sharing were discussed in 3GPP RAN</w:t>
      </w:r>
      <w:r w:rsidR="00450685">
        <w:t xml:space="preserve">. </w:t>
      </w:r>
      <w:r w:rsidR="002D6BDC">
        <w:t xml:space="preserve">NR supplemental uplink (SUL) </w:t>
      </w:r>
      <w:r w:rsidR="00F355AD">
        <w:fldChar w:fldCharType="begin"/>
      </w:r>
      <w:r w:rsidR="00450685">
        <w:instrText xml:space="preserve"> REF _Ref492008097 \r \h </w:instrText>
      </w:r>
      <w:r w:rsidR="00F355AD">
        <w:fldChar w:fldCharType="separate"/>
      </w:r>
      <w:r w:rsidR="00BD10E6">
        <w:t>[6]</w:t>
      </w:r>
      <w:r w:rsidR="00F355AD">
        <w:fldChar w:fldCharType="end"/>
      </w:r>
      <w:r w:rsidR="00450685">
        <w:t xml:space="preserve"> </w:t>
      </w:r>
      <w:r w:rsidR="002D6BDC">
        <w:t xml:space="preserve">is one way </w:t>
      </w:r>
      <w:r w:rsidR="00450685">
        <w:t xml:space="preserve">of solution </w:t>
      </w:r>
      <w:r w:rsidR="002D6BDC">
        <w:t>that may look similar to UL sharin</w:t>
      </w:r>
      <w:r w:rsidR="00AF6307">
        <w:t xml:space="preserve">g but indeed different. SUL </w:t>
      </w:r>
      <w:r w:rsidR="002D6BDC">
        <w:t>utilizes the low frequency carrier for NR UL but does not require the coexistence with LTE transmission on that carrier</w:t>
      </w:r>
      <w:r w:rsidR="00450685">
        <w:t>. DC</w:t>
      </w:r>
      <w:r w:rsidR="00B651F3">
        <w:t xml:space="preserve">/CA (e.g., </w:t>
      </w:r>
      <w:r w:rsidR="00450685">
        <w:t>N</w:t>
      </w:r>
      <w:r w:rsidR="00B651F3">
        <w:t xml:space="preserve">R-LTE DC, </w:t>
      </w:r>
      <w:r w:rsidR="00450685">
        <w:t>NR-NR DC</w:t>
      </w:r>
      <w:r w:rsidR="00B651F3">
        <w:t>, NR-NR CA</w:t>
      </w:r>
      <w:r w:rsidR="00450685">
        <w:t xml:space="preserve">) provides another family of solutions for uplink coverage. In fact, </w:t>
      </w:r>
      <w:r w:rsidR="00B651F3">
        <w:t>most of ways in utilizing</w:t>
      </w:r>
      <w:r w:rsidR="009E45AD">
        <w:t xml:space="preserve"> a low frequency for UL could </w:t>
      </w:r>
      <w:r w:rsidR="00AF6307">
        <w:t>cover</w:t>
      </w:r>
      <w:r w:rsidR="00B93704">
        <w:t xml:space="preserve">, to some extent, the issue </w:t>
      </w:r>
      <w:r w:rsidR="00B651F3">
        <w:t>UL sharing</w:t>
      </w:r>
      <w:r w:rsidR="00B93704">
        <w:t xml:space="preserve"> targets</w:t>
      </w:r>
      <w:r w:rsidR="00083889">
        <w:t xml:space="preserve"> to solve</w:t>
      </w:r>
      <w:r w:rsidR="009E45AD">
        <w:t xml:space="preserve">. Some examples are listed below. </w:t>
      </w:r>
    </w:p>
    <w:p w:rsidR="009E45AD" w:rsidRDefault="009E45AD" w:rsidP="009E45AD">
      <w:pPr>
        <w:numPr>
          <w:ilvl w:val="0"/>
          <w:numId w:val="34"/>
        </w:numPr>
        <w:spacing w:after="0"/>
        <w:jc w:val="both"/>
      </w:pPr>
      <w:r>
        <w:t xml:space="preserve"> LTE UE @LF(low frequency) and NR UE @HF(high frequency)</w:t>
      </w:r>
    </w:p>
    <w:p w:rsidR="009E45AD" w:rsidRDefault="009E45AD" w:rsidP="009E45AD">
      <w:pPr>
        <w:spacing w:after="0"/>
        <w:ind w:left="720"/>
        <w:jc w:val="both"/>
      </w:pPr>
      <w:r>
        <w:t xml:space="preserve">In case the NR UL coverage </w:t>
      </w:r>
      <w:r w:rsidR="00B93704">
        <w:t xml:space="preserve">issue occurs, UE can handover from NR to LTE. </w:t>
      </w:r>
    </w:p>
    <w:p w:rsidR="00332C9D" w:rsidRDefault="00084E45" w:rsidP="009E45AD">
      <w:pPr>
        <w:numPr>
          <w:ilvl w:val="0"/>
          <w:numId w:val="34"/>
        </w:numPr>
        <w:spacing w:after="0"/>
        <w:jc w:val="both"/>
      </w:pPr>
      <w:r>
        <w:lastRenderedPageBreak/>
        <w:t xml:space="preserve"> </w:t>
      </w:r>
      <w:r w:rsidR="00332C9D">
        <w:t xml:space="preserve">NR SA UE using inter-band CA/DC:  NR@HF + NR@LF </w:t>
      </w:r>
      <w:r w:rsidR="00F355AD">
        <w:fldChar w:fldCharType="begin"/>
      </w:r>
      <w:r w:rsidR="00332C9D">
        <w:instrText xml:space="preserve"> REF _Ref492008107 \r \h </w:instrText>
      </w:r>
      <w:r w:rsidR="00F355AD">
        <w:fldChar w:fldCharType="separate"/>
      </w:r>
      <w:r w:rsidR="00BD10E6">
        <w:t>[7]</w:t>
      </w:r>
      <w:r w:rsidR="00F355AD">
        <w:fldChar w:fldCharType="end"/>
      </w:r>
    </w:p>
    <w:p w:rsidR="00332C9D" w:rsidRDefault="00332C9D" w:rsidP="009E45AD">
      <w:pPr>
        <w:numPr>
          <w:ilvl w:val="0"/>
          <w:numId w:val="34"/>
        </w:numPr>
        <w:spacing w:after="0"/>
        <w:jc w:val="both"/>
      </w:pPr>
      <w:r>
        <w:t xml:space="preserve"> NR SA UE using SUL</w:t>
      </w:r>
      <w:r w:rsidR="00F63820">
        <w:t>(w/o LTE signals on SUL from network perspective)</w:t>
      </w:r>
      <w:r>
        <w:t>: NR@</w:t>
      </w:r>
      <w:r w:rsidR="00F63820">
        <w:t>HF + NR@</w:t>
      </w:r>
      <w:r w:rsidR="00C87E57">
        <w:t xml:space="preserve">LF </w:t>
      </w:r>
      <w:r w:rsidR="00F63820">
        <w:t xml:space="preserve">SUL </w:t>
      </w:r>
      <w:r w:rsidR="00F355AD">
        <w:fldChar w:fldCharType="begin"/>
      </w:r>
      <w:r w:rsidR="00F63820">
        <w:instrText xml:space="preserve"> REF _Ref492008097 \r \h </w:instrText>
      </w:r>
      <w:r w:rsidR="00F355AD">
        <w:fldChar w:fldCharType="separate"/>
      </w:r>
      <w:r w:rsidR="00BD10E6">
        <w:t>[6]</w:t>
      </w:r>
      <w:r w:rsidR="00F355AD">
        <w:fldChar w:fldCharType="end"/>
      </w:r>
      <w:r w:rsidR="00F355AD">
        <w:fldChar w:fldCharType="begin"/>
      </w:r>
      <w:r w:rsidR="00F63820">
        <w:instrText xml:space="preserve"> REF _Ref492008107 \r \h </w:instrText>
      </w:r>
      <w:r w:rsidR="00F355AD">
        <w:fldChar w:fldCharType="separate"/>
      </w:r>
      <w:r w:rsidR="00BD10E6">
        <w:t>[7]</w:t>
      </w:r>
      <w:r w:rsidR="00F355AD">
        <w:fldChar w:fldCharType="end"/>
      </w:r>
    </w:p>
    <w:p w:rsidR="009E45AD" w:rsidRDefault="00332C9D" w:rsidP="009E45AD">
      <w:pPr>
        <w:numPr>
          <w:ilvl w:val="0"/>
          <w:numId w:val="34"/>
        </w:numPr>
        <w:spacing w:after="0"/>
        <w:jc w:val="both"/>
      </w:pPr>
      <w:r>
        <w:t xml:space="preserve"> NSA/DC</w:t>
      </w:r>
      <w:r w:rsidR="00084E45">
        <w:t xml:space="preserve"> UE</w:t>
      </w:r>
      <w:r>
        <w:t xml:space="preserve">: LTE@LF + NR@HF (scenario 1 in </w:t>
      </w:r>
      <w:r w:rsidR="00F355AD">
        <w:fldChar w:fldCharType="begin"/>
      </w:r>
      <w:r>
        <w:instrText xml:space="preserve"> REF _Ref492006854 \r \h </w:instrText>
      </w:r>
      <w:r w:rsidR="00F355AD">
        <w:fldChar w:fldCharType="separate"/>
      </w:r>
      <w:r w:rsidR="00BD10E6">
        <w:t>[5]</w:t>
      </w:r>
      <w:r w:rsidR="00F355AD">
        <w:fldChar w:fldCharType="end"/>
      </w:r>
      <w:r>
        <w:t>)</w:t>
      </w:r>
      <w:r w:rsidR="00084E45">
        <w:t xml:space="preserve"> </w:t>
      </w:r>
    </w:p>
    <w:p w:rsidR="00332C9D" w:rsidRDefault="00332C9D" w:rsidP="009E45AD">
      <w:pPr>
        <w:numPr>
          <w:ilvl w:val="0"/>
          <w:numId w:val="34"/>
        </w:numPr>
        <w:spacing w:after="0"/>
        <w:jc w:val="both"/>
      </w:pPr>
      <w:r>
        <w:t xml:space="preserve"> </w:t>
      </w:r>
      <w:r w:rsidR="00F63820">
        <w:t xml:space="preserve">NSA/DC UE using NR CA: LTE@LF1 + (NR@HF + NR@LF2 CA)  (scenario 3 in </w:t>
      </w:r>
      <w:r w:rsidR="00F355AD">
        <w:fldChar w:fldCharType="begin"/>
      </w:r>
      <w:r w:rsidR="00F63820">
        <w:instrText xml:space="preserve"> REF _Ref492006854 \r \h </w:instrText>
      </w:r>
      <w:r w:rsidR="00F355AD">
        <w:fldChar w:fldCharType="separate"/>
      </w:r>
      <w:r w:rsidR="00BD10E6">
        <w:t>[5]</w:t>
      </w:r>
      <w:r w:rsidR="00F355AD">
        <w:fldChar w:fldCharType="end"/>
      </w:r>
      <w:r w:rsidR="00F63820">
        <w:t>)</w:t>
      </w:r>
    </w:p>
    <w:p w:rsidR="00F63820" w:rsidRDefault="00F63820" w:rsidP="009E45AD">
      <w:pPr>
        <w:numPr>
          <w:ilvl w:val="0"/>
          <w:numId w:val="34"/>
        </w:numPr>
        <w:spacing w:after="0"/>
        <w:jc w:val="both"/>
      </w:pPr>
      <w:r>
        <w:t xml:space="preserve"> NSA/DC UE using SUL(w/o LTE signals on SUL from network perspective): LTE@LF1 + (NR@HF + NR@LF2 SUL)</w:t>
      </w:r>
      <w:r w:rsidR="00C87E57">
        <w:t xml:space="preserve"> </w:t>
      </w:r>
      <w:r w:rsidR="00F355AD">
        <w:fldChar w:fldCharType="begin"/>
      </w:r>
      <w:r w:rsidR="00C87E57">
        <w:instrText xml:space="preserve"> REF _Ref492008107 \r \h </w:instrText>
      </w:r>
      <w:r w:rsidR="00F355AD">
        <w:fldChar w:fldCharType="separate"/>
      </w:r>
      <w:r w:rsidR="00BD10E6">
        <w:t>[7]</w:t>
      </w:r>
      <w:r w:rsidR="00F355AD">
        <w:fldChar w:fldCharType="end"/>
      </w:r>
    </w:p>
    <w:p w:rsidR="00450685" w:rsidRDefault="00FA1343" w:rsidP="00DA5846">
      <w:pPr>
        <w:spacing w:after="120"/>
        <w:jc w:val="both"/>
      </w:pPr>
      <w:r>
        <w:t xml:space="preserve">The deployment scenarios so far discussed in RAN1 are compared in </w:t>
      </w:r>
      <w:r w:rsidR="00F355AD">
        <w:fldChar w:fldCharType="begin"/>
      </w:r>
      <w:r w:rsidR="00DA5846">
        <w:instrText xml:space="preserve"> REF _Ref492220557 \h </w:instrText>
      </w:r>
      <w:r w:rsidR="00F355AD">
        <w:fldChar w:fldCharType="separate"/>
      </w:r>
      <w:r w:rsidR="00BD10E6">
        <w:t xml:space="preserve">Table </w:t>
      </w:r>
      <w:r w:rsidR="00BD10E6">
        <w:rPr>
          <w:noProof/>
        </w:rPr>
        <w:t>1</w:t>
      </w:r>
      <w:r w:rsidR="00F355AD">
        <w:fldChar w:fldCharType="end"/>
      </w:r>
      <w:r w:rsidR="00DA5846">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07"/>
        <w:gridCol w:w="2605"/>
        <w:gridCol w:w="2605"/>
        <w:gridCol w:w="3137"/>
      </w:tblGrid>
      <w:tr w:rsidR="007F1256" w:rsidTr="007C3FE5">
        <w:tc>
          <w:tcPr>
            <w:tcW w:w="0" w:type="auto"/>
          </w:tcPr>
          <w:p w:rsidR="007F1256" w:rsidRDefault="007F1256" w:rsidP="007C3FE5">
            <w:pPr>
              <w:spacing w:after="0"/>
              <w:jc w:val="both"/>
            </w:pPr>
          </w:p>
        </w:tc>
        <w:tc>
          <w:tcPr>
            <w:tcW w:w="0" w:type="auto"/>
          </w:tcPr>
          <w:p w:rsidR="007F1256" w:rsidRDefault="007F1256" w:rsidP="007C3FE5">
            <w:pPr>
              <w:spacing w:after="0"/>
              <w:jc w:val="both"/>
            </w:pPr>
            <w:r>
              <w:t>NR-LTE coexistence on DL</w:t>
            </w:r>
          </w:p>
        </w:tc>
        <w:tc>
          <w:tcPr>
            <w:tcW w:w="0" w:type="auto"/>
          </w:tcPr>
          <w:p w:rsidR="007F1256" w:rsidRDefault="007F1256" w:rsidP="007C3FE5">
            <w:pPr>
              <w:spacing w:after="0"/>
              <w:jc w:val="both"/>
            </w:pPr>
            <w:r>
              <w:t>NR-LTE coexistence on UL</w:t>
            </w:r>
          </w:p>
        </w:tc>
        <w:tc>
          <w:tcPr>
            <w:tcW w:w="0" w:type="auto"/>
          </w:tcPr>
          <w:p w:rsidR="007F1256" w:rsidRDefault="007F1256" w:rsidP="007C3FE5">
            <w:pPr>
              <w:spacing w:after="0"/>
              <w:jc w:val="both"/>
            </w:pPr>
            <w:r>
              <w:t>Band combination</w:t>
            </w:r>
            <w:r w:rsidR="00726426">
              <w:t xml:space="preserve"> </w:t>
            </w:r>
            <w:r w:rsidR="002C2ACE">
              <w:t>between low freq. and high freq.</w:t>
            </w:r>
          </w:p>
        </w:tc>
      </w:tr>
      <w:tr w:rsidR="007F1256" w:rsidTr="007C3FE5">
        <w:tc>
          <w:tcPr>
            <w:tcW w:w="0" w:type="auto"/>
          </w:tcPr>
          <w:p w:rsidR="007F1256" w:rsidRDefault="007F1256" w:rsidP="007C3FE5">
            <w:pPr>
              <w:spacing w:after="0"/>
              <w:jc w:val="both"/>
            </w:pPr>
            <w:r>
              <w:t>Uplink sharing</w:t>
            </w:r>
          </w:p>
        </w:tc>
        <w:tc>
          <w:tcPr>
            <w:tcW w:w="0" w:type="auto"/>
          </w:tcPr>
          <w:p w:rsidR="007F1256" w:rsidRDefault="007F1256" w:rsidP="007C3FE5">
            <w:pPr>
              <w:spacing w:after="0"/>
              <w:jc w:val="both"/>
            </w:pPr>
            <w:r>
              <w:t>No</w:t>
            </w:r>
          </w:p>
        </w:tc>
        <w:tc>
          <w:tcPr>
            <w:tcW w:w="0" w:type="auto"/>
          </w:tcPr>
          <w:p w:rsidR="007F1256" w:rsidRDefault="007F1256" w:rsidP="007C3FE5">
            <w:pPr>
              <w:spacing w:after="0"/>
              <w:jc w:val="both"/>
            </w:pPr>
            <w:r>
              <w:t>Co-channel</w:t>
            </w:r>
          </w:p>
        </w:tc>
        <w:tc>
          <w:tcPr>
            <w:tcW w:w="0" w:type="auto"/>
          </w:tcPr>
          <w:p w:rsidR="007F1256" w:rsidRDefault="002C2ACE" w:rsidP="007C3FE5">
            <w:pPr>
              <w:spacing w:after="0"/>
              <w:jc w:val="both"/>
            </w:pPr>
            <w:r>
              <w:t>Yes</w:t>
            </w:r>
            <w:r w:rsidR="00DA5846">
              <w:t xml:space="preserve"> (for UL sharing purpose)</w:t>
            </w:r>
          </w:p>
        </w:tc>
      </w:tr>
      <w:tr w:rsidR="007F1256" w:rsidTr="007C3FE5">
        <w:tc>
          <w:tcPr>
            <w:tcW w:w="0" w:type="auto"/>
          </w:tcPr>
          <w:p w:rsidR="007F1256" w:rsidRDefault="007F1256" w:rsidP="007C3FE5">
            <w:pPr>
              <w:spacing w:after="0"/>
              <w:jc w:val="both"/>
            </w:pPr>
            <w:r>
              <w:t>Spectrum refarming</w:t>
            </w:r>
          </w:p>
        </w:tc>
        <w:tc>
          <w:tcPr>
            <w:tcW w:w="0" w:type="auto"/>
          </w:tcPr>
          <w:p w:rsidR="007F1256" w:rsidRDefault="007F1256" w:rsidP="007C3FE5">
            <w:pPr>
              <w:spacing w:after="0"/>
              <w:jc w:val="both"/>
            </w:pPr>
            <w:r>
              <w:t>Either co-channel or adjacent-channel</w:t>
            </w:r>
          </w:p>
        </w:tc>
        <w:tc>
          <w:tcPr>
            <w:tcW w:w="0" w:type="auto"/>
          </w:tcPr>
          <w:p w:rsidR="007F1256" w:rsidRDefault="007F1256" w:rsidP="007C3FE5">
            <w:pPr>
              <w:spacing w:after="0"/>
              <w:jc w:val="both"/>
            </w:pPr>
            <w:r>
              <w:t>Either co-channel or adjacent-channel</w:t>
            </w:r>
          </w:p>
        </w:tc>
        <w:tc>
          <w:tcPr>
            <w:tcW w:w="0" w:type="auto"/>
          </w:tcPr>
          <w:p w:rsidR="007F1256" w:rsidRDefault="002C2ACE" w:rsidP="007C3FE5">
            <w:pPr>
              <w:spacing w:after="0"/>
              <w:jc w:val="both"/>
            </w:pPr>
            <w:r>
              <w:t>No</w:t>
            </w:r>
            <w:r w:rsidR="007F1256">
              <w:t xml:space="preserve"> </w:t>
            </w:r>
          </w:p>
        </w:tc>
      </w:tr>
      <w:tr w:rsidR="007F1256" w:rsidTr="007C3FE5">
        <w:tc>
          <w:tcPr>
            <w:tcW w:w="0" w:type="auto"/>
          </w:tcPr>
          <w:p w:rsidR="007F1256" w:rsidRDefault="007F1256" w:rsidP="007C3FE5">
            <w:pPr>
              <w:spacing w:after="0"/>
              <w:jc w:val="both"/>
            </w:pPr>
            <w:r>
              <w:t>1) above</w:t>
            </w:r>
          </w:p>
        </w:tc>
        <w:tc>
          <w:tcPr>
            <w:tcW w:w="0" w:type="auto"/>
          </w:tcPr>
          <w:p w:rsidR="007F1256" w:rsidRDefault="007F1256" w:rsidP="007C3FE5">
            <w:pPr>
              <w:spacing w:after="0"/>
              <w:jc w:val="both"/>
            </w:pPr>
            <w:r>
              <w:t>No</w:t>
            </w:r>
          </w:p>
        </w:tc>
        <w:tc>
          <w:tcPr>
            <w:tcW w:w="0" w:type="auto"/>
          </w:tcPr>
          <w:p w:rsidR="007F1256" w:rsidRDefault="007F1256" w:rsidP="007C3FE5">
            <w:pPr>
              <w:spacing w:after="0"/>
              <w:jc w:val="both"/>
            </w:pPr>
            <w:r>
              <w:t>No</w:t>
            </w:r>
          </w:p>
        </w:tc>
        <w:tc>
          <w:tcPr>
            <w:tcW w:w="0" w:type="auto"/>
          </w:tcPr>
          <w:p w:rsidR="007F1256" w:rsidRDefault="007F1256" w:rsidP="007C3FE5">
            <w:pPr>
              <w:spacing w:after="0"/>
              <w:jc w:val="both"/>
            </w:pPr>
            <w:r>
              <w:t>No</w:t>
            </w:r>
          </w:p>
        </w:tc>
      </w:tr>
      <w:tr w:rsidR="002C2ACE" w:rsidTr="007C3FE5">
        <w:tc>
          <w:tcPr>
            <w:tcW w:w="0" w:type="auto"/>
          </w:tcPr>
          <w:p w:rsidR="002C2ACE" w:rsidRDefault="002C2ACE" w:rsidP="007C3FE5">
            <w:pPr>
              <w:spacing w:after="0"/>
              <w:jc w:val="both"/>
            </w:pPr>
            <w:r>
              <w:t>4) above</w:t>
            </w:r>
          </w:p>
        </w:tc>
        <w:tc>
          <w:tcPr>
            <w:tcW w:w="0" w:type="auto"/>
          </w:tcPr>
          <w:p w:rsidR="002C2ACE" w:rsidRDefault="002C2ACE" w:rsidP="007C3FE5">
            <w:pPr>
              <w:spacing w:after="0"/>
              <w:jc w:val="both"/>
            </w:pPr>
            <w:r>
              <w:t>No</w:t>
            </w:r>
          </w:p>
        </w:tc>
        <w:tc>
          <w:tcPr>
            <w:tcW w:w="0" w:type="auto"/>
          </w:tcPr>
          <w:p w:rsidR="002C2ACE" w:rsidRDefault="002C2ACE" w:rsidP="007C3FE5">
            <w:pPr>
              <w:spacing w:after="0"/>
              <w:jc w:val="both"/>
            </w:pPr>
            <w:r>
              <w:t>No</w:t>
            </w:r>
          </w:p>
        </w:tc>
        <w:tc>
          <w:tcPr>
            <w:tcW w:w="0" w:type="auto"/>
          </w:tcPr>
          <w:p w:rsidR="002C2ACE" w:rsidRDefault="00DA5846" w:rsidP="007C3FE5">
            <w:pPr>
              <w:spacing w:after="0"/>
              <w:jc w:val="both"/>
            </w:pPr>
            <w:r>
              <w:t>Yes (for DC purpose)</w:t>
            </w:r>
          </w:p>
        </w:tc>
      </w:tr>
      <w:tr w:rsidR="007F1256" w:rsidTr="007C3FE5">
        <w:tc>
          <w:tcPr>
            <w:tcW w:w="0" w:type="auto"/>
          </w:tcPr>
          <w:p w:rsidR="007F1256" w:rsidRDefault="007F1256" w:rsidP="007C3FE5">
            <w:pPr>
              <w:spacing w:after="0"/>
              <w:jc w:val="both"/>
            </w:pPr>
            <w:r>
              <w:t xml:space="preserve">2) </w:t>
            </w:r>
            <w:r w:rsidR="00726426">
              <w:t xml:space="preserve">and 5) </w:t>
            </w:r>
            <w:r>
              <w:t>above</w:t>
            </w:r>
          </w:p>
        </w:tc>
        <w:tc>
          <w:tcPr>
            <w:tcW w:w="0" w:type="auto"/>
          </w:tcPr>
          <w:p w:rsidR="007F1256" w:rsidRDefault="007F1256" w:rsidP="007C3FE5">
            <w:pPr>
              <w:spacing w:after="0"/>
              <w:jc w:val="both"/>
            </w:pPr>
            <w:r>
              <w:t>No</w:t>
            </w:r>
          </w:p>
        </w:tc>
        <w:tc>
          <w:tcPr>
            <w:tcW w:w="0" w:type="auto"/>
          </w:tcPr>
          <w:p w:rsidR="007F1256" w:rsidRDefault="007F1256" w:rsidP="007C3FE5">
            <w:pPr>
              <w:spacing w:after="0"/>
              <w:jc w:val="both"/>
            </w:pPr>
            <w:r>
              <w:t>No</w:t>
            </w:r>
          </w:p>
        </w:tc>
        <w:tc>
          <w:tcPr>
            <w:tcW w:w="0" w:type="auto"/>
          </w:tcPr>
          <w:p w:rsidR="007F1256" w:rsidRDefault="00AF6307" w:rsidP="007C3FE5">
            <w:pPr>
              <w:spacing w:after="0"/>
              <w:jc w:val="both"/>
            </w:pPr>
            <w:r>
              <w:t xml:space="preserve">Yes (for DC and </w:t>
            </w:r>
            <w:r w:rsidR="00DA5846">
              <w:t>CA purpose)</w:t>
            </w:r>
          </w:p>
        </w:tc>
      </w:tr>
      <w:tr w:rsidR="007F1256" w:rsidTr="007C3FE5">
        <w:tc>
          <w:tcPr>
            <w:tcW w:w="0" w:type="auto"/>
          </w:tcPr>
          <w:p w:rsidR="007F1256" w:rsidRDefault="007F1256" w:rsidP="007C3FE5">
            <w:pPr>
              <w:spacing w:after="0"/>
              <w:jc w:val="both"/>
            </w:pPr>
            <w:r>
              <w:t xml:space="preserve">3) </w:t>
            </w:r>
            <w:r w:rsidR="00726426">
              <w:t xml:space="preserve">and 6) </w:t>
            </w:r>
            <w:r>
              <w:t>above</w:t>
            </w:r>
          </w:p>
        </w:tc>
        <w:tc>
          <w:tcPr>
            <w:tcW w:w="0" w:type="auto"/>
          </w:tcPr>
          <w:p w:rsidR="007F1256" w:rsidRDefault="007F1256" w:rsidP="007C3FE5">
            <w:pPr>
              <w:spacing w:after="0"/>
              <w:jc w:val="both"/>
            </w:pPr>
            <w:r>
              <w:t>No</w:t>
            </w:r>
          </w:p>
        </w:tc>
        <w:tc>
          <w:tcPr>
            <w:tcW w:w="0" w:type="auto"/>
          </w:tcPr>
          <w:p w:rsidR="007F1256" w:rsidRDefault="007F1256" w:rsidP="007C3FE5">
            <w:pPr>
              <w:spacing w:after="0"/>
              <w:jc w:val="both"/>
            </w:pPr>
            <w:r>
              <w:t>No</w:t>
            </w:r>
          </w:p>
        </w:tc>
        <w:tc>
          <w:tcPr>
            <w:tcW w:w="0" w:type="auto"/>
          </w:tcPr>
          <w:p w:rsidR="007F1256" w:rsidRDefault="00DA5846" w:rsidP="00AF6307">
            <w:pPr>
              <w:spacing w:after="0"/>
              <w:jc w:val="both"/>
            </w:pPr>
            <w:r>
              <w:t xml:space="preserve">Yes (for </w:t>
            </w:r>
            <w:r w:rsidR="00AF6307">
              <w:t>DC</w:t>
            </w:r>
            <w:r>
              <w:t xml:space="preserve"> and </w:t>
            </w:r>
            <w:r w:rsidR="00AF6307">
              <w:t>SUL</w:t>
            </w:r>
            <w:r>
              <w:t xml:space="preserve"> purpose)</w:t>
            </w:r>
          </w:p>
        </w:tc>
      </w:tr>
    </w:tbl>
    <w:p w:rsidR="00FA1343" w:rsidRDefault="00DA5846" w:rsidP="00E73871">
      <w:pPr>
        <w:pStyle w:val="Caption"/>
        <w:spacing w:after="120"/>
        <w:jc w:val="center"/>
      </w:pPr>
      <w:bookmarkStart w:id="3" w:name="_Ref492220557"/>
      <w:r>
        <w:t xml:space="preserve">Table </w:t>
      </w:r>
      <w:fldSimple w:instr=" SEQ Table \* ARABIC ">
        <w:r w:rsidR="00BD10E6">
          <w:rPr>
            <w:noProof/>
          </w:rPr>
          <w:t>1</w:t>
        </w:r>
      </w:fldSimple>
      <w:bookmarkEnd w:id="3"/>
      <w:r>
        <w:t xml:space="preserve"> Comparison of different scenarios</w:t>
      </w:r>
    </w:p>
    <w:p w:rsidR="00FA1343" w:rsidRDefault="00DA5846" w:rsidP="00B060AA">
      <w:pPr>
        <w:spacing w:after="0"/>
        <w:jc w:val="both"/>
      </w:pPr>
      <w:r>
        <w:t xml:space="preserve">It can be seen from </w:t>
      </w:r>
      <w:r w:rsidR="00F355AD">
        <w:fldChar w:fldCharType="begin"/>
      </w:r>
      <w:r>
        <w:instrText xml:space="preserve"> REF _Ref492220557 \h </w:instrText>
      </w:r>
      <w:r w:rsidR="00F355AD">
        <w:fldChar w:fldCharType="separate"/>
      </w:r>
      <w:r w:rsidR="00BD10E6">
        <w:t xml:space="preserve">Table </w:t>
      </w:r>
      <w:r w:rsidR="00BD10E6">
        <w:rPr>
          <w:noProof/>
        </w:rPr>
        <w:t>1</w:t>
      </w:r>
      <w:r w:rsidR="00F355AD">
        <w:fldChar w:fldCharType="end"/>
      </w:r>
      <w:r>
        <w:t xml:space="preserve"> that UL sharing is the only </w:t>
      </w:r>
      <w:r w:rsidR="0005474C">
        <w:t>one</w:t>
      </w:r>
      <w:r>
        <w:t xml:space="preserve"> that requires both co-channel sharing between LTE and NR and band combination between LTE band and NR d</w:t>
      </w:r>
      <w:r w:rsidR="00100C02">
        <w:t>edicated band. Such requirement leads to following issues.</w:t>
      </w:r>
    </w:p>
    <w:p w:rsidR="00F8405F" w:rsidRDefault="00100C02" w:rsidP="00625BB7">
      <w:pPr>
        <w:numPr>
          <w:ilvl w:val="0"/>
          <w:numId w:val="30"/>
        </w:numPr>
        <w:spacing w:after="0"/>
        <w:jc w:val="both"/>
      </w:pPr>
      <w:r w:rsidRPr="00100C02">
        <w:rPr>
          <w:i/>
          <w:u w:val="single"/>
        </w:rPr>
        <w:t>Limit multi-vendor capability</w:t>
      </w:r>
      <w:r>
        <w:t xml:space="preserve">: </w:t>
      </w:r>
      <w:r w:rsidR="00C402A1">
        <w:t xml:space="preserve"> </w:t>
      </w:r>
      <w:r w:rsidR="00C87E57">
        <w:t>UL sharing</w:t>
      </w:r>
      <w:r w:rsidR="00C402A1">
        <w:t xml:space="preserve"> introd</w:t>
      </w:r>
      <w:r w:rsidR="00F8405F">
        <w:t xml:space="preserve">uces strong </w:t>
      </w:r>
      <w:r w:rsidR="00C87E57">
        <w:t>interaction relations</w:t>
      </w:r>
      <w:r w:rsidR="00C402A1">
        <w:t xml:space="preserve"> between eNB and gNB</w:t>
      </w:r>
      <w:r>
        <w:t xml:space="preserve"> due to sharing resources on UL</w:t>
      </w:r>
      <w:r w:rsidR="00C402A1">
        <w:t xml:space="preserve">, as well as </w:t>
      </w:r>
      <w:r>
        <w:t xml:space="preserve">the binding </w:t>
      </w:r>
      <w:r w:rsidR="00C402A1">
        <w:t>between</w:t>
      </w:r>
      <w:r>
        <w:t xml:space="preserve"> LTE band and NR dedicated band.</w:t>
      </w:r>
      <w:r w:rsidR="00F8405F">
        <w:t xml:space="preserve"> </w:t>
      </w:r>
      <w:r>
        <w:t>Even though the X2/Xn interface can be specified to support eNB-gNB interaction, such interface specification is never mandatory and is also difficult to work on a level of resource scheduling. This</w:t>
      </w:r>
      <w:r w:rsidR="00F8405F">
        <w:t xml:space="preserve"> could make the Rel-15 specification not as multi-vendor friendly as earlier 3GPP standards. </w:t>
      </w:r>
      <w:r w:rsidR="004466BF">
        <w:t>More critical</w:t>
      </w:r>
      <w:r>
        <w:t>, b</w:t>
      </w:r>
      <w:r w:rsidR="00C87E57">
        <w:t>ecau</w:t>
      </w:r>
      <w:r w:rsidR="004466BF">
        <w:t>se such vendor-binding locks different bands, such multi-vendor issue propagates from one band to another</w:t>
      </w:r>
      <w:r w:rsidR="00C87E57">
        <w:t xml:space="preserve">. </w:t>
      </w:r>
    </w:p>
    <w:p w:rsidR="00A57032" w:rsidRDefault="004466BF" w:rsidP="00625BB7">
      <w:pPr>
        <w:numPr>
          <w:ilvl w:val="0"/>
          <w:numId w:val="30"/>
        </w:numPr>
        <w:spacing w:after="0"/>
        <w:jc w:val="both"/>
      </w:pPr>
      <w:r w:rsidRPr="004466BF">
        <w:rPr>
          <w:i/>
          <w:u w:val="single"/>
        </w:rPr>
        <w:t>Limit NR UL performance</w:t>
      </w:r>
      <w:r>
        <w:t xml:space="preserve">: </w:t>
      </w:r>
      <w:r w:rsidR="00625BB7">
        <w:t xml:space="preserve">because </w:t>
      </w:r>
      <w:r>
        <w:t>low frequency UL carrier is most-likely needed by</w:t>
      </w:r>
      <w:r w:rsidR="00EE46CC">
        <w:t xml:space="preserve"> </w:t>
      </w:r>
      <w:r w:rsidR="00E11209">
        <w:t xml:space="preserve">cell-edge </w:t>
      </w:r>
      <w:r w:rsidR="00EE46CC">
        <w:t>NR UEs,</w:t>
      </w:r>
      <w:r w:rsidR="00E11209">
        <w:t xml:space="preserve"> large amount of LTE UEs </w:t>
      </w:r>
      <w:r w:rsidR="00EE46CC">
        <w:t xml:space="preserve">on the same frequency </w:t>
      </w:r>
      <w:r w:rsidR="00E11209">
        <w:t>could create uplink inter-cell interference to the</w:t>
      </w:r>
      <w:r w:rsidR="00625BB7">
        <w:t xml:space="preserve"> </w:t>
      </w:r>
      <w:r w:rsidR="00E11209">
        <w:t xml:space="preserve">cell-edge NR UE. </w:t>
      </w:r>
      <w:r w:rsidR="00A57032">
        <w:t xml:space="preserve">The UL performance in this case is expected to be worse than the case where </w:t>
      </w:r>
      <w:r w:rsidR="003A411C">
        <w:t xml:space="preserve">the UE operates on SUL </w:t>
      </w:r>
      <w:r w:rsidR="00A57032">
        <w:t xml:space="preserve">without any LTE UL transmissions. </w:t>
      </w:r>
      <w:r w:rsidR="00E11209">
        <w:t>RAN1 does not take</w:t>
      </w:r>
      <w:r w:rsidR="00A57032">
        <w:t xml:space="preserve"> </w:t>
      </w:r>
      <w:r w:rsidR="00EE46CC">
        <w:t>or</w:t>
      </w:r>
      <w:r w:rsidR="00A57032">
        <w:t xml:space="preserve"> plan</w:t>
      </w:r>
      <w:r w:rsidR="00E11209">
        <w:t xml:space="preserve"> any study on how to manage single interference-over-thermal (IoT) level for two different RATs</w:t>
      </w:r>
      <w:r w:rsidR="003A411C">
        <w:t xml:space="preserve"> on the same carrier</w:t>
      </w:r>
      <w:r w:rsidR="00E11209">
        <w:t xml:space="preserve">. </w:t>
      </w:r>
      <w:r w:rsidR="00625BB7">
        <w:t xml:space="preserve"> </w:t>
      </w:r>
    </w:p>
    <w:p w:rsidR="002A5E4C" w:rsidRDefault="002A5E4C" w:rsidP="002A5E4C">
      <w:pPr>
        <w:spacing w:after="0"/>
        <w:jc w:val="both"/>
      </w:pPr>
      <w:r>
        <w:t>T</w:t>
      </w:r>
      <w:r w:rsidR="00A57032">
        <w:t xml:space="preserve">he specification </w:t>
      </w:r>
      <w:r>
        <w:t>complexity and working group schedule for UL sharing should also be taken into account</w:t>
      </w:r>
      <w:r w:rsidR="00A57032">
        <w:t xml:space="preserve">. </w:t>
      </w:r>
      <w:r w:rsidR="00FA1B2A">
        <w:t xml:space="preserve">UL sharing is not completed as of today and apparently requires more TUs in WGs. </w:t>
      </w:r>
    </w:p>
    <w:p w:rsidR="00C402A1" w:rsidRDefault="002A5E4C" w:rsidP="002A5E4C">
      <w:pPr>
        <w:numPr>
          <w:ilvl w:val="0"/>
          <w:numId w:val="43"/>
        </w:numPr>
        <w:spacing w:after="0"/>
        <w:jc w:val="both"/>
      </w:pPr>
      <w:r w:rsidRPr="002A5E4C">
        <w:rPr>
          <w:i/>
        </w:rPr>
        <w:t>RAN1</w:t>
      </w:r>
      <w:r>
        <w:t xml:space="preserve">: </w:t>
      </w:r>
      <w:r w:rsidR="003D7AF6">
        <w:t>In</w:t>
      </w:r>
      <w:r w:rsidR="00A57032">
        <w:t xml:space="preserve"> RAN1 work plan for NR-LTE coexistence</w:t>
      </w:r>
      <w:r w:rsidR="003D7AF6">
        <w:t xml:space="preserve"> </w:t>
      </w:r>
      <w:r w:rsidR="00F355AD">
        <w:fldChar w:fldCharType="begin"/>
      </w:r>
      <w:r w:rsidR="003D7AF6">
        <w:instrText xml:space="preserve"> REF _Ref491964107 \r \h </w:instrText>
      </w:r>
      <w:r w:rsidR="00F355AD">
        <w:fldChar w:fldCharType="separate"/>
      </w:r>
      <w:r w:rsidR="00BD10E6">
        <w:t>[3]</w:t>
      </w:r>
      <w:r w:rsidR="00F355AD">
        <w:fldChar w:fldCharType="end"/>
      </w:r>
      <w:r w:rsidR="00A57032">
        <w:t xml:space="preserve">, </w:t>
      </w:r>
      <w:r w:rsidR="002226BF">
        <w:t xml:space="preserve">the tasks for UL sharing are listed as below. </w:t>
      </w:r>
      <w:r w:rsidR="00A57032">
        <w:t xml:space="preserve"> </w:t>
      </w:r>
      <w:r w:rsidR="00625BB7">
        <w:t xml:space="preserve">  </w:t>
      </w:r>
      <w:r w:rsidR="00C402A1">
        <w:t xml:space="preserve"> </w:t>
      </w:r>
    </w:p>
    <w:p w:rsidR="00974D7F" w:rsidRDefault="00F355AD" w:rsidP="00B060AA">
      <w:pPr>
        <w:spacing w:after="0"/>
        <w:jc w:val="both"/>
      </w:pPr>
      <w:r>
        <w:rPr>
          <w:noProof/>
          <w:lang w:val="en-US" w:eastAsia="zh-CN"/>
        </w:rPr>
        <w:pict>
          <v:shapetype id="_x0000_t202" coordsize="21600,21600" o:spt="202" path="m,l,21600r21600,l21600,xe">
            <v:stroke joinstyle="miter"/>
            <v:path gradientshapeok="t" o:connecttype="rect"/>
          </v:shapetype>
          <v:shape id="_x0000_s1027" type="#_x0000_t202" style="position:absolute;left:0;text-align:left;margin-left:14.65pt;margin-top:1.55pt;width:464.6pt;height:56.35pt;z-index:251658240">
            <v:textbox inset="5.85pt,.7pt,5.85pt,.7pt">
              <w:txbxContent>
                <w:p w:rsidR="002A5E4C" w:rsidRPr="003D7AF6" w:rsidRDefault="002A5E4C" w:rsidP="003D7AF6">
                  <w:pPr>
                    <w:numPr>
                      <w:ilvl w:val="1"/>
                      <w:numId w:val="31"/>
                    </w:numPr>
                    <w:tabs>
                      <w:tab w:val="num" w:pos="1440"/>
                    </w:tabs>
                    <w:snapToGrid w:val="0"/>
                    <w:spacing w:after="0"/>
                    <w:rPr>
                      <w:sz w:val="18"/>
                      <w:szCs w:val="18"/>
                      <w:lang w:val="en-US"/>
                    </w:rPr>
                  </w:pPr>
                  <w:r w:rsidRPr="003D7AF6">
                    <w:rPr>
                      <w:sz w:val="18"/>
                      <w:szCs w:val="18"/>
                      <w:lang w:val="en-US"/>
                    </w:rPr>
                    <w:t>UL sharing</w:t>
                  </w:r>
                </w:p>
                <w:p w:rsidR="002A5E4C" w:rsidRPr="003D7AF6" w:rsidRDefault="002A5E4C" w:rsidP="003D7AF6">
                  <w:pPr>
                    <w:numPr>
                      <w:ilvl w:val="2"/>
                      <w:numId w:val="31"/>
                    </w:numPr>
                    <w:tabs>
                      <w:tab w:val="clear" w:pos="2160"/>
                      <w:tab w:val="num" w:pos="1080"/>
                    </w:tabs>
                    <w:snapToGrid w:val="0"/>
                    <w:spacing w:after="0"/>
                    <w:ind w:left="1080"/>
                    <w:rPr>
                      <w:sz w:val="18"/>
                      <w:szCs w:val="18"/>
                      <w:lang w:val="en-US"/>
                    </w:rPr>
                  </w:pPr>
                  <w:r w:rsidRPr="003D7AF6">
                    <w:rPr>
                      <w:sz w:val="18"/>
                      <w:szCs w:val="18"/>
                      <w:lang w:val="en-US"/>
                    </w:rPr>
                    <w:t>Subcarrier alignment vs. no subcarrier alignment: companies are expected to provide final evaluations and analysis, and RAN1 to make a decision among 3 alternatives</w:t>
                  </w:r>
                </w:p>
                <w:p w:rsidR="002A5E4C" w:rsidRPr="003D7AF6" w:rsidRDefault="002A5E4C" w:rsidP="003D7AF6">
                  <w:pPr>
                    <w:numPr>
                      <w:ilvl w:val="2"/>
                      <w:numId w:val="31"/>
                    </w:numPr>
                    <w:tabs>
                      <w:tab w:val="clear" w:pos="2160"/>
                      <w:tab w:val="num" w:pos="1080"/>
                    </w:tabs>
                    <w:snapToGrid w:val="0"/>
                    <w:spacing w:after="0"/>
                    <w:ind w:left="1080"/>
                    <w:rPr>
                      <w:sz w:val="18"/>
                      <w:szCs w:val="18"/>
                      <w:lang w:val="en-US"/>
                    </w:rPr>
                  </w:pPr>
                  <w:r w:rsidRPr="003D7AF6">
                    <w:rPr>
                      <w:sz w:val="18"/>
                      <w:szCs w:val="18"/>
                      <w:lang w:val="en-US"/>
                    </w:rPr>
                    <w:t>Continue discussion on timing, power control, UL carrier selection, handling of UL transmissions including SRS and PRACH in the shared UL bandwidth</w:t>
                  </w:r>
                </w:p>
                <w:p w:rsidR="002A5E4C" w:rsidRPr="003D7AF6" w:rsidRDefault="002A5E4C">
                  <w:pPr>
                    <w:rPr>
                      <w:lang w:val="en-US"/>
                    </w:rPr>
                  </w:pPr>
                </w:p>
              </w:txbxContent>
            </v:textbox>
          </v:shape>
        </w:pict>
      </w:r>
    </w:p>
    <w:p w:rsidR="00974D7F" w:rsidRDefault="00974D7F" w:rsidP="00B060AA">
      <w:pPr>
        <w:spacing w:after="0"/>
        <w:jc w:val="both"/>
      </w:pPr>
    </w:p>
    <w:p w:rsidR="003D7AF6" w:rsidRDefault="003D7AF6" w:rsidP="002A5E4C">
      <w:pPr>
        <w:pStyle w:val="Heading4"/>
        <w:spacing w:after="120"/>
        <w:ind w:left="1411" w:hanging="1411"/>
      </w:pPr>
    </w:p>
    <w:p w:rsidR="002A5E4C" w:rsidRDefault="002226BF" w:rsidP="002A5E4C">
      <w:pPr>
        <w:spacing w:after="0"/>
        <w:ind w:left="630"/>
      </w:pPr>
      <w:r>
        <w:t>Up to RAN1 #90, RAN1 has no conclusions on timing, UL carrier selection and transmissions of SRS and PRACH in the shared UL</w:t>
      </w:r>
      <w:r w:rsidR="007C5D46">
        <w:t xml:space="preserve"> given there are two </w:t>
      </w:r>
      <w:r w:rsidR="002A5E4C">
        <w:t>NR ULs, one in LTE band and another in NR dedicated band</w:t>
      </w:r>
      <w:r>
        <w:t xml:space="preserve">. </w:t>
      </w:r>
      <w:r w:rsidR="002A5E4C">
        <w:t xml:space="preserve">In addition, UL sharing is so far only discussed for eNB-gNB co-site case. RAN1 has no discussion for eNB-gNB non-collocation. </w:t>
      </w:r>
    </w:p>
    <w:p w:rsidR="003D7AF6" w:rsidRDefault="002A5E4C" w:rsidP="002A5E4C">
      <w:pPr>
        <w:numPr>
          <w:ilvl w:val="0"/>
          <w:numId w:val="43"/>
        </w:numPr>
        <w:spacing w:after="0"/>
      </w:pPr>
      <w:r w:rsidRPr="002A5E4C">
        <w:rPr>
          <w:i/>
        </w:rPr>
        <w:lastRenderedPageBreak/>
        <w:t>RAN4</w:t>
      </w:r>
      <w:r>
        <w:t xml:space="preserve">: RAN4 already agreed </w:t>
      </w:r>
      <w:r w:rsidR="00F355AD">
        <w:fldChar w:fldCharType="begin"/>
      </w:r>
      <w:r>
        <w:instrText xml:space="preserve"> REF _Ref491973326 \r \h </w:instrText>
      </w:r>
      <w:r w:rsidR="00F355AD">
        <w:fldChar w:fldCharType="separate"/>
      </w:r>
      <w:r w:rsidR="00BD10E6">
        <w:t>[4]</w:t>
      </w:r>
      <w:r w:rsidR="00F355AD">
        <w:fldChar w:fldCharType="end"/>
      </w:r>
      <w:r>
        <w:t xml:space="preserve"> to prioritize the conventional band arrangement and DC/NSA combinations over specific requirements for UL sharing.</w:t>
      </w:r>
    </w:p>
    <w:p w:rsidR="003E5F0C" w:rsidRPr="003E5F0C" w:rsidRDefault="00CD3888" w:rsidP="0098094E">
      <w:r>
        <w:t xml:space="preserve">In summary, UL sharing imposes </w:t>
      </w:r>
      <w:r w:rsidR="006179A3">
        <w:t>multi-vendor limitation</w:t>
      </w:r>
      <w:r>
        <w:t xml:space="preserve">, sacrifices NR </w:t>
      </w:r>
      <w:r w:rsidR="002A5E4C">
        <w:t xml:space="preserve">UL </w:t>
      </w:r>
      <w:r>
        <w:t>performance d</w:t>
      </w:r>
      <w:r w:rsidR="0012771E">
        <w:t>ue to int</w:t>
      </w:r>
      <w:r w:rsidR="003A411C">
        <w:t>erference from LTE UEs, consumes</w:t>
      </w:r>
      <w:r w:rsidR="0012771E">
        <w:t xml:space="preserve"> additional TUs </w:t>
      </w:r>
      <w:r w:rsidR="00074250">
        <w:t>in WGs, but</w:t>
      </w:r>
      <w:r w:rsidR="0012771E">
        <w:t xml:space="preserve"> just duplicates the </w:t>
      </w:r>
      <w:r w:rsidR="00074250">
        <w:t>benefits</w:t>
      </w:r>
      <w:r w:rsidR="007D7A38">
        <w:t xml:space="preserve"> offered by other </w:t>
      </w:r>
      <w:r w:rsidR="003A411C">
        <w:t xml:space="preserve">prioritized </w:t>
      </w:r>
      <w:r w:rsidR="0012771E">
        <w:t>scen</w:t>
      </w:r>
      <w:r w:rsidR="007D7A38">
        <w:t>arios</w:t>
      </w:r>
      <w:r w:rsidR="0012771E">
        <w:t xml:space="preserve">. </w:t>
      </w:r>
      <w:r w:rsidR="003A411C">
        <w:t xml:space="preserve">The other scenarios, at least the ones using SUL (w/o LTE signals on SUL from network perspective), </w:t>
      </w:r>
      <w:r w:rsidR="003A411C" w:rsidRPr="005C689A">
        <w:rPr>
          <w:rFonts w:eastAsia="MS Mincho"/>
          <w:color w:val="000000"/>
          <w:lang w:val="en-US" w:eastAsia="zh-CN"/>
        </w:rPr>
        <w:t>could have all the functionalities that UL sharing declares but with better performance and less standardization work.</w:t>
      </w:r>
      <w:r w:rsidR="003A411C">
        <w:t xml:space="preserve">  </w:t>
      </w:r>
      <w:r w:rsidR="00164F80">
        <w:t xml:space="preserve">Therefore it is proposed </w:t>
      </w:r>
      <w:r w:rsidR="0098094E">
        <w:t xml:space="preserve">not to support in Rel-15 the scenario requiring both co-channel sharing between LTE and NR and band combination between </w:t>
      </w:r>
      <w:r w:rsidR="00731CF6">
        <w:t>different</w:t>
      </w:r>
      <w:r w:rsidR="0098094E">
        <w:t xml:space="preserve"> band</w:t>
      </w:r>
      <w:r w:rsidR="00731CF6">
        <w:t>s</w:t>
      </w:r>
      <w:r w:rsidR="00E86164">
        <w:t xml:space="preserve"> (at least one of bands is NR dedicated band)</w:t>
      </w:r>
      <w:r w:rsidR="00164F80">
        <w:t xml:space="preserve">. </w:t>
      </w:r>
    </w:p>
    <w:p w:rsidR="008F7146" w:rsidRDefault="009D5A0F" w:rsidP="008F7146">
      <w:pPr>
        <w:pStyle w:val="Heading4"/>
        <w:rPr>
          <w:rFonts w:eastAsiaTheme="minorEastAsia"/>
          <w:lang w:eastAsia="zh-CN"/>
        </w:rPr>
      </w:pPr>
      <w:r>
        <w:rPr>
          <w:rFonts w:eastAsiaTheme="minorEastAsia"/>
          <w:lang w:eastAsia="zh-CN"/>
        </w:rPr>
        <w:t xml:space="preserve">2.2 </w:t>
      </w:r>
      <w:r w:rsidR="008F7146">
        <w:rPr>
          <w:rFonts w:eastAsiaTheme="minorEastAsia" w:hint="eastAsia"/>
          <w:lang w:eastAsia="zh-CN"/>
        </w:rPr>
        <w:t>Multiple bandwidth part</w:t>
      </w:r>
      <w:r w:rsidR="00BD10E6">
        <w:rPr>
          <w:rFonts w:eastAsiaTheme="minorEastAsia"/>
          <w:lang w:eastAsia="zh-CN"/>
        </w:rPr>
        <w:t>s</w:t>
      </w:r>
    </w:p>
    <w:p w:rsidR="00000000" w:rsidRDefault="008F7146" w:rsidP="00BD10E6">
      <w:pPr>
        <w:spacing w:after="0"/>
        <w:rPr>
          <w:rFonts w:eastAsiaTheme="minorEastAsia"/>
          <w:lang w:eastAsia="zh-CN"/>
        </w:rPr>
      </w:pPr>
      <w:r>
        <w:rPr>
          <w:rFonts w:eastAsiaTheme="minorEastAsia" w:hint="eastAsia"/>
          <w:lang w:eastAsia="zh-CN"/>
        </w:rPr>
        <w:t xml:space="preserve">One NR feature which is different from LTE is multiple bandwidth part. Technically it is possible that more than one bandwidth part could be configured and activated for one UE.  In </w:t>
      </w:r>
      <w:r w:rsidR="00BD10E6">
        <w:rPr>
          <w:rFonts w:eastAsiaTheme="minorEastAsia"/>
          <w:lang w:eastAsia="zh-CN"/>
        </w:rPr>
        <w:fldChar w:fldCharType="begin"/>
      </w:r>
      <w:r w:rsidR="00BD10E6">
        <w:rPr>
          <w:rFonts w:eastAsiaTheme="minorEastAsia"/>
          <w:lang w:eastAsia="zh-CN"/>
        </w:rPr>
        <w:instrText xml:space="preserve"> </w:instrText>
      </w:r>
      <w:r w:rsidR="00BD10E6">
        <w:rPr>
          <w:rFonts w:eastAsiaTheme="minorEastAsia" w:hint="eastAsia"/>
          <w:lang w:eastAsia="zh-CN"/>
        </w:rPr>
        <w:instrText>REF _Ref492304027 \h</w:instrText>
      </w:r>
      <w:r w:rsidR="00BD10E6">
        <w:rPr>
          <w:rFonts w:eastAsiaTheme="minorEastAsia"/>
          <w:lang w:eastAsia="zh-CN"/>
        </w:rPr>
        <w:instrText xml:space="preserve"> </w:instrText>
      </w:r>
      <w:r w:rsidR="00BD10E6">
        <w:rPr>
          <w:rFonts w:eastAsiaTheme="minorEastAsia"/>
          <w:lang w:eastAsia="zh-CN"/>
        </w:rPr>
      </w:r>
      <w:r w:rsidR="00BD10E6">
        <w:rPr>
          <w:rFonts w:eastAsiaTheme="minorEastAsia"/>
          <w:lang w:eastAsia="zh-CN"/>
        </w:rPr>
        <w:fldChar w:fldCharType="separate"/>
      </w:r>
      <w:r w:rsidR="00BD10E6">
        <w:t xml:space="preserve">Table </w:t>
      </w:r>
      <w:r w:rsidR="00BD10E6">
        <w:rPr>
          <w:noProof/>
        </w:rPr>
        <w:t>2</w:t>
      </w:r>
      <w:r w:rsidR="00BD10E6">
        <w:rPr>
          <w:rFonts w:eastAsiaTheme="minorEastAsia"/>
          <w:lang w:eastAsia="zh-CN"/>
        </w:rPr>
        <w:fldChar w:fldCharType="end"/>
      </w:r>
      <w:r w:rsidR="00BD10E6">
        <w:rPr>
          <w:rFonts w:eastAsiaTheme="minorEastAsia"/>
          <w:lang w:eastAsia="zh-CN"/>
        </w:rPr>
        <w:t xml:space="preserve"> </w:t>
      </w:r>
      <w:r>
        <w:rPr>
          <w:rFonts w:eastAsiaTheme="minorEastAsia" w:hint="eastAsia"/>
          <w:lang w:eastAsia="zh-CN"/>
        </w:rPr>
        <w:t xml:space="preserve">below there </w:t>
      </w:r>
      <w:r>
        <w:rPr>
          <w:rFonts w:eastAsiaTheme="minorEastAsia"/>
          <w:lang w:eastAsia="zh-CN"/>
        </w:rPr>
        <w:t>are potential combinations</w:t>
      </w:r>
      <w:r>
        <w:rPr>
          <w:rFonts w:eastAsiaTheme="minorEastAsia" w:hint="eastAsia"/>
          <w:lang w:eastAsia="zh-CN"/>
        </w:rPr>
        <w:t xml:space="preserve"> by taking both configuration and activation into account:</w:t>
      </w:r>
    </w:p>
    <w:tbl>
      <w:tblPr>
        <w:tblStyle w:val="TableGrid"/>
        <w:tblW w:w="0" w:type="auto"/>
        <w:jc w:val="center"/>
        <w:tblInd w:w="1101" w:type="dxa"/>
        <w:tblLook w:val="04A0"/>
      </w:tblPr>
      <w:tblGrid>
        <w:gridCol w:w="1100"/>
        <w:gridCol w:w="3643"/>
        <w:gridCol w:w="3499"/>
      </w:tblGrid>
      <w:tr w:rsidR="008F7146" w:rsidTr="00BD10E6">
        <w:trPr>
          <w:jc w:val="center"/>
        </w:trPr>
        <w:tc>
          <w:tcPr>
            <w:tcW w:w="0" w:type="auto"/>
          </w:tcPr>
          <w:p w:rsidR="008F7146" w:rsidRDefault="008F7146" w:rsidP="00BD10E6">
            <w:pPr>
              <w:spacing w:after="0"/>
              <w:rPr>
                <w:rFonts w:eastAsiaTheme="minorEastAsia"/>
                <w:lang w:eastAsia="zh-CN"/>
              </w:rPr>
            </w:pPr>
            <w:r>
              <w:rPr>
                <w:rFonts w:eastAsiaTheme="minorEastAsia" w:hint="eastAsia"/>
                <w:lang w:eastAsia="zh-CN"/>
              </w:rPr>
              <w:t>Case index</w:t>
            </w:r>
          </w:p>
        </w:tc>
        <w:tc>
          <w:tcPr>
            <w:tcW w:w="0" w:type="auto"/>
          </w:tcPr>
          <w:p w:rsidR="008F7146" w:rsidRDefault="008F7146" w:rsidP="00BD10E6">
            <w:pPr>
              <w:spacing w:after="0"/>
              <w:rPr>
                <w:rFonts w:eastAsiaTheme="minorEastAsia"/>
                <w:lang w:eastAsia="zh-CN"/>
              </w:rPr>
            </w:pPr>
            <w:r>
              <w:rPr>
                <w:rFonts w:eastAsiaTheme="minorEastAsia"/>
                <w:lang w:eastAsia="zh-CN"/>
              </w:rPr>
              <w:t>H</w:t>
            </w:r>
            <w:r>
              <w:rPr>
                <w:rFonts w:eastAsiaTheme="minorEastAsia" w:hint="eastAsia"/>
                <w:lang w:eastAsia="zh-CN"/>
              </w:rPr>
              <w:t>ow many bandwidth part</w:t>
            </w:r>
            <w:r w:rsidR="00BD10E6">
              <w:rPr>
                <w:rFonts w:eastAsiaTheme="minorEastAsia"/>
                <w:lang w:eastAsia="zh-CN"/>
              </w:rPr>
              <w:t>s</w:t>
            </w:r>
            <w:r w:rsidR="00BD10E6">
              <w:rPr>
                <w:rFonts w:eastAsiaTheme="minorEastAsia" w:hint="eastAsia"/>
                <w:lang w:eastAsia="zh-CN"/>
              </w:rPr>
              <w:t xml:space="preserve"> </w:t>
            </w:r>
            <w:r w:rsidR="00BD10E6">
              <w:rPr>
                <w:rFonts w:eastAsiaTheme="minorEastAsia"/>
                <w:lang w:eastAsia="zh-CN"/>
              </w:rPr>
              <w:t>are</w:t>
            </w:r>
            <w:r>
              <w:rPr>
                <w:rFonts w:eastAsiaTheme="minorEastAsia" w:hint="eastAsia"/>
                <w:lang w:eastAsia="zh-CN"/>
              </w:rPr>
              <w:t xml:space="preserve"> configured</w:t>
            </w:r>
          </w:p>
        </w:tc>
        <w:tc>
          <w:tcPr>
            <w:tcW w:w="0" w:type="auto"/>
          </w:tcPr>
          <w:p w:rsidR="008F7146" w:rsidRPr="000B6085" w:rsidRDefault="008F7146" w:rsidP="00BD10E6">
            <w:pPr>
              <w:spacing w:after="0"/>
              <w:rPr>
                <w:rFonts w:eastAsiaTheme="minorEastAsia"/>
                <w:lang w:eastAsia="zh-CN"/>
              </w:rPr>
            </w:pPr>
            <w:r>
              <w:rPr>
                <w:rFonts w:eastAsiaTheme="minorEastAsia" w:hint="eastAsia"/>
                <w:lang w:eastAsia="zh-CN"/>
              </w:rPr>
              <w:t>How many bandwidth part</w:t>
            </w:r>
            <w:r w:rsidR="00BD10E6">
              <w:rPr>
                <w:rFonts w:eastAsiaTheme="minorEastAsia"/>
                <w:lang w:eastAsia="zh-CN"/>
              </w:rPr>
              <w:t>s</w:t>
            </w:r>
            <w:r w:rsidR="00BD10E6">
              <w:rPr>
                <w:rFonts w:eastAsiaTheme="minorEastAsia" w:hint="eastAsia"/>
                <w:lang w:eastAsia="zh-CN"/>
              </w:rPr>
              <w:t xml:space="preserve"> </w:t>
            </w:r>
            <w:r w:rsidR="00BD10E6">
              <w:rPr>
                <w:rFonts w:eastAsiaTheme="minorEastAsia"/>
                <w:lang w:eastAsia="zh-CN"/>
              </w:rPr>
              <w:t>are</w:t>
            </w:r>
            <w:r>
              <w:rPr>
                <w:rFonts w:eastAsiaTheme="minorEastAsia" w:hint="eastAsia"/>
                <w:lang w:eastAsia="zh-CN"/>
              </w:rPr>
              <w:t xml:space="preserve"> activated</w:t>
            </w:r>
          </w:p>
        </w:tc>
      </w:tr>
      <w:tr w:rsidR="008F7146" w:rsidTr="00BD10E6">
        <w:trPr>
          <w:jc w:val="center"/>
        </w:trPr>
        <w:tc>
          <w:tcPr>
            <w:tcW w:w="0" w:type="auto"/>
          </w:tcPr>
          <w:p w:rsidR="008F7146" w:rsidRDefault="008F7146" w:rsidP="00BD10E6">
            <w:pPr>
              <w:spacing w:after="0"/>
              <w:rPr>
                <w:rFonts w:eastAsiaTheme="minorEastAsia"/>
                <w:lang w:eastAsia="zh-CN"/>
              </w:rPr>
            </w:pPr>
            <w:r>
              <w:rPr>
                <w:rFonts w:eastAsiaTheme="minorEastAsia" w:hint="eastAsia"/>
                <w:lang w:eastAsia="zh-CN"/>
              </w:rPr>
              <w:t>1</w:t>
            </w:r>
          </w:p>
        </w:tc>
        <w:tc>
          <w:tcPr>
            <w:tcW w:w="0" w:type="auto"/>
          </w:tcPr>
          <w:p w:rsidR="008F7146" w:rsidRDefault="008F7146" w:rsidP="00BD10E6">
            <w:pPr>
              <w:spacing w:after="0"/>
              <w:rPr>
                <w:rFonts w:eastAsiaTheme="minorEastAsia"/>
                <w:lang w:eastAsia="zh-CN"/>
              </w:rPr>
            </w:pPr>
            <w:r>
              <w:rPr>
                <w:rFonts w:eastAsiaTheme="minorEastAsia" w:hint="eastAsia"/>
                <w:lang w:eastAsia="zh-CN"/>
              </w:rPr>
              <w:t>1</w:t>
            </w:r>
          </w:p>
        </w:tc>
        <w:tc>
          <w:tcPr>
            <w:tcW w:w="0" w:type="auto"/>
          </w:tcPr>
          <w:p w:rsidR="008F7146" w:rsidRDefault="008F7146" w:rsidP="00BD10E6">
            <w:pPr>
              <w:spacing w:after="0"/>
              <w:rPr>
                <w:rFonts w:eastAsiaTheme="minorEastAsia"/>
                <w:lang w:eastAsia="zh-CN"/>
              </w:rPr>
            </w:pPr>
            <w:r>
              <w:rPr>
                <w:rFonts w:eastAsiaTheme="minorEastAsia" w:hint="eastAsia"/>
                <w:lang w:eastAsia="zh-CN"/>
              </w:rPr>
              <w:t>1</w:t>
            </w:r>
          </w:p>
        </w:tc>
      </w:tr>
      <w:tr w:rsidR="008F7146" w:rsidTr="00BD10E6">
        <w:trPr>
          <w:jc w:val="center"/>
        </w:trPr>
        <w:tc>
          <w:tcPr>
            <w:tcW w:w="0" w:type="auto"/>
          </w:tcPr>
          <w:p w:rsidR="008F7146" w:rsidRDefault="008F7146" w:rsidP="00BD10E6">
            <w:pPr>
              <w:spacing w:after="0"/>
              <w:rPr>
                <w:rFonts w:eastAsiaTheme="minorEastAsia"/>
                <w:lang w:eastAsia="zh-CN"/>
              </w:rPr>
            </w:pPr>
            <w:r>
              <w:rPr>
                <w:rFonts w:eastAsiaTheme="minorEastAsia" w:hint="eastAsia"/>
                <w:lang w:eastAsia="zh-CN"/>
              </w:rPr>
              <w:t>2</w:t>
            </w:r>
          </w:p>
        </w:tc>
        <w:tc>
          <w:tcPr>
            <w:tcW w:w="0" w:type="auto"/>
          </w:tcPr>
          <w:p w:rsidR="008F7146" w:rsidRDefault="008F7146" w:rsidP="00BD10E6">
            <w:pPr>
              <w:spacing w:after="0"/>
              <w:rPr>
                <w:rFonts w:eastAsiaTheme="minorEastAsia"/>
                <w:lang w:eastAsia="zh-CN"/>
              </w:rPr>
            </w:pPr>
            <w:r>
              <w:rPr>
                <w:rFonts w:eastAsiaTheme="minorEastAsia"/>
                <w:lang w:eastAsia="zh-CN"/>
              </w:rPr>
              <w:t>M</w:t>
            </w:r>
            <w:r>
              <w:rPr>
                <w:rFonts w:eastAsiaTheme="minorEastAsia" w:hint="eastAsia"/>
                <w:lang w:eastAsia="zh-CN"/>
              </w:rPr>
              <w:t>ore than one e.g. 2</w:t>
            </w:r>
          </w:p>
        </w:tc>
        <w:tc>
          <w:tcPr>
            <w:tcW w:w="0" w:type="auto"/>
          </w:tcPr>
          <w:p w:rsidR="008F7146" w:rsidRDefault="008F7146" w:rsidP="00BD10E6">
            <w:pPr>
              <w:spacing w:after="0"/>
              <w:rPr>
                <w:rFonts w:eastAsiaTheme="minorEastAsia"/>
                <w:lang w:eastAsia="zh-CN"/>
              </w:rPr>
            </w:pPr>
            <w:r>
              <w:rPr>
                <w:rFonts w:eastAsiaTheme="minorEastAsia" w:hint="eastAsia"/>
                <w:lang w:eastAsia="zh-CN"/>
              </w:rPr>
              <w:t>1</w:t>
            </w:r>
          </w:p>
        </w:tc>
      </w:tr>
      <w:tr w:rsidR="008F7146" w:rsidTr="00BD10E6">
        <w:trPr>
          <w:jc w:val="center"/>
        </w:trPr>
        <w:tc>
          <w:tcPr>
            <w:tcW w:w="0" w:type="auto"/>
          </w:tcPr>
          <w:p w:rsidR="008F7146" w:rsidRDefault="008F7146" w:rsidP="00BD10E6">
            <w:pPr>
              <w:spacing w:after="0"/>
              <w:rPr>
                <w:rFonts w:eastAsiaTheme="minorEastAsia"/>
                <w:lang w:eastAsia="zh-CN"/>
              </w:rPr>
            </w:pPr>
            <w:r>
              <w:rPr>
                <w:rFonts w:eastAsiaTheme="minorEastAsia" w:hint="eastAsia"/>
                <w:lang w:eastAsia="zh-CN"/>
              </w:rPr>
              <w:t>3</w:t>
            </w:r>
          </w:p>
        </w:tc>
        <w:tc>
          <w:tcPr>
            <w:tcW w:w="0" w:type="auto"/>
          </w:tcPr>
          <w:p w:rsidR="008F7146" w:rsidRDefault="008F7146" w:rsidP="00BD10E6">
            <w:pPr>
              <w:spacing w:after="0"/>
              <w:rPr>
                <w:rFonts w:eastAsiaTheme="minorEastAsia"/>
                <w:lang w:eastAsia="zh-CN"/>
              </w:rPr>
            </w:pPr>
            <w:r>
              <w:rPr>
                <w:rFonts w:eastAsiaTheme="minorEastAsia"/>
                <w:lang w:eastAsia="zh-CN"/>
              </w:rPr>
              <w:t>M</w:t>
            </w:r>
            <w:r>
              <w:rPr>
                <w:rFonts w:eastAsiaTheme="minorEastAsia" w:hint="eastAsia"/>
                <w:lang w:eastAsia="zh-CN"/>
              </w:rPr>
              <w:t>ore than one e.g. 2</w:t>
            </w:r>
          </w:p>
        </w:tc>
        <w:tc>
          <w:tcPr>
            <w:tcW w:w="0" w:type="auto"/>
          </w:tcPr>
          <w:p w:rsidR="008F7146" w:rsidRDefault="008F7146" w:rsidP="00BD10E6">
            <w:pPr>
              <w:spacing w:after="0"/>
              <w:rPr>
                <w:rFonts w:eastAsiaTheme="minorEastAsia"/>
                <w:lang w:eastAsia="zh-CN"/>
              </w:rPr>
            </w:pPr>
            <w:r>
              <w:rPr>
                <w:rFonts w:eastAsiaTheme="minorEastAsia"/>
                <w:lang w:eastAsia="zh-CN"/>
              </w:rPr>
              <w:t>M</w:t>
            </w:r>
            <w:r>
              <w:rPr>
                <w:rFonts w:eastAsiaTheme="minorEastAsia" w:hint="eastAsia"/>
                <w:lang w:eastAsia="zh-CN"/>
              </w:rPr>
              <w:t>ore than one e.g. 2</w:t>
            </w:r>
          </w:p>
        </w:tc>
      </w:tr>
    </w:tbl>
    <w:p w:rsidR="00BD10E6" w:rsidRDefault="00BD10E6" w:rsidP="00BD10E6">
      <w:pPr>
        <w:pStyle w:val="Caption"/>
        <w:spacing w:after="120"/>
        <w:jc w:val="center"/>
        <w:rPr>
          <w:rFonts w:eastAsiaTheme="minorEastAsia"/>
          <w:lang w:eastAsia="zh-CN"/>
        </w:rPr>
      </w:pPr>
      <w:bookmarkStart w:id="4" w:name="_Ref492304027"/>
      <w:r>
        <w:t xml:space="preserve">Table </w:t>
      </w:r>
      <w:fldSimple w:instr=" SEQ Table \* ARABIC ">
        <w:r>
          <w:rPr>
            <w:noProof/>
          </w:rPr>
          <w:t>2</w:t>
        </w:r>
      </w:fldSimple>
      <w:bookmarkEnd w:id="4"/>
      <w:r>
        <w:t xml:space="preserve"> Potential combinations in BWP application</w:t>
      </w:r>
    </w:p>
    <w:p w:rsidR="00000000" w:rsidRDefault="008F7146" w:rsidP="00BD10E6">
      <w:pPr>
        <w:spacing w:after="0"/>
        <w:rPr>
          <w:rFonts w:eastAsiaTheme="minorEastAsia"/>
          <w:lang w:eastAsia="zh-CN"/>
        </w:rPr>
      </w:pPr>
      <w:r>
        <w:rPr>
          <w:rFonts w:eastAsiaTheme="minorEastAsia" w:hint="eastAsia"/>
          <w:lang w:eastAsia="zh-CN"/>
        </w:rPr>
        <w:t>Considering the potential work and complexity, case 3 has been down prioritized by RAN1. Here is the agreement in RAN1#AH2:</w:t>
      </w:r>
    </w:p>
    <w:p w:rsidR="008F7146" w:rsidRPr="001B3743" w:rsidRDefault="00F355AD" w:rsidP="00BD10E6">
      <w:pPr>
        <w:numPr>
          <w:ilvl w:val="0"/>
          <w:numId w:val="44"/>
        </w:numPr>
        <w:overflowPunct/>
        <w:autoSpaceDE/>
        <w:autoSpaceDN/>
        <w:adjustRightInd/>
        <w:spacing w:after="0"/>
        <w:textAlignment w:val="auto"/>
        <w:rPr>
          <w:rFonts w:eastAsia="MS Mincho"/>
          <w:i/>
          <w:lang w:val="en-US" w:eastAsia="ja-JP"/>
        </w:rPr>
      </w:pPr>
      <w:r w:rsidRPr="00F355AD">
        <w:rPr>
          <w:rFonts w:eastAsia="MS Mincho"/>
          <w:i/>
          <w:lang w:val="en-US" w:eastAsia="ja-JP"/>
        </w:rPr>
        <w:t>Primary focus is to complete the single active bandwidth part case</w:t>
      </w:r>
    </w:p>
    <w:p w:rsidR="008F7146" w:rsidRPr="001B3743" w:rsidRDefault="00F355AD" w:rsidP="00BD10E6">
      <w:pPr>
        <w:numPr>
          <w:ilvl w:val="0"/>
          <w:numId w:val="44"/>
        </w:numPr>
        <w:overflowPunct/>
        <w:autoSpaceDE/>
        <w:autoSpaceDN/>
        <w:adjustRightInd/>
        <w:spacing w:after="0"/>
        <w:textAlignment w:val="auto"/>
        <w:rPr>
          <w:rFonts w:eastAsia="MS Mincho"/>
          <w:i/>
          <w:lang w:val="en-US" w:eastAsia="ja-JP"/>
        </w:rPr>
      </w:pPr>
      <w:r w:rsidRPr="00F355AD">
        <w:rPr>
          <w:rFonts w:eastAsia="MS Mincho"/>
          <w:i/>
          <w:lang w:eastAsia="ja-JP"/>
        </w:rPr>
        <w:t>If time is available later after completing the single active bandwidth part case, following cases should be considered for UE</w:t>
      </w:r>
    </w:p>
    <w:p w:rsidR="008F7146" w:rsidRPr="001B3743" w:rsidRDefault="00F355AD" w:rsidP="00BD10E6">
      <w:pPr>
        <w:numPr>
          <w:ilvl w:val="1"/>
          <w:numId w:val="44"/>
        </w:numPr>
        <w:overflowPunct/>
        <w:autoSpaceDE/>
        <w:autoSpaceDN/>
        <w:adjustRightInd/>
        <w:spacing w:after="0"/>
        <w:textAlignment w:val="auto"/>
        <w:rPr>
          <w:rFonts w:eastAsia="MS Mincho"/>
          <w:i/>
          <w:lang w:val="en-US" w:eastAsia="ja-JP"/>
        </w:rPr>
      </w:pPr>
      <w:r w:rsidRPr="00F355AD">
        <w:rPr>
          <w:rFonts w:eastAsia="MS Mincho"/>
          <w:i/>
          <w:lang w:eastAsia="ja-JP"/>
        </w:rPr>
        <w:t xml:space="preserve">For a single carrier WB UE, </w:t>
      </w:r>
      <w:r w:rsidRPr="00F355AD">
        <w:rPr>
          <w:rFonts w:eastAsia="MS Mincho"/>
          <w:i/>
          <w:lang w:val="en-US" w:eastAsia="ja-JP"/>
        </w:rPr>
        <w:t xml:space="preserve">multiple active bandwidth parts </w:t>
      </w:r>
      <w:r w:rsidRPr="00BD10E6">
        <w:rPr>
          <w:rFonts w:eastAsia="MS Mincho"/>
          <w:i/>
          <w:lang w:val="en-US" w:eastAsia="ja-JP"/>
        </w:rPr>
        <w:t>with different numerologies are</w:t>
      </w:r>
      <w:r w:rsidRPr="00F355AD">
        <w:rPr>
          <w:rFonts w:eastAsia="MS Mincho"/>
          <w:i/>
          <w:lang w:val="en-US" w:eastAsia="ja-JP"/>
        </w:rPr>
        <w:t xml:space="preserve"> configured for a UE simultaneously</w:t>
      </w:r>
    </w:p>
    <w:p w:rsidR="008F7146" w:rsidRPr="001B3743" w:rsidRDefault="00F355AD" w:rsidP="00BD10E6">
      <w:pPr>
        <w:numPr>
          <w:ilvl w:val="2"/>
          <w:numId w:val="44"/>
        </w:numPr>
        <w:overflowPunct/>
        <w:autoSpaceDE/>
        <w:autoSpaceDN/>
        <w:adjustRightInd/>
        <w:spacing w:after="0"/>
        <w:textAlignment w:val="auto"/>
        <w:rPr>
          <w:rFonts w:eastAsia="MS Mincho"/>
          <w:i/>
          <w:lang w:val="en-US" w:eastAsia="ja-JP"/>
        </w:rPr>
      </w:pPr>
      <w:r w:rsidRPr="00F355AD">
        <w:rPr>
          <w:rFonts w:eastAsia="MS Mincho"/>
          <w:i/>
          <w:lang w:val="en-US" w:eastAsia="ja-JP"/>
        </w:rPr>
        <w:t xml:space="preserve">One TB is mapped per each active BWP. </w:t>
      </w:r>
    </w:p>
    <w:p w:rsidR="008F7146" w:rsidRPr="001B3743" w:rsidRDefault="00F355AD" w:rsidP="00BD10E6">
      <w:pPr>
        <w:numPr>
          <w:ilvl w:val="2"/>
          <w:numId w:val="44"/>
        </w:numPr>
        <w:overflowPunct/>
        <w:autoSpaceDE/>
        <w:autoSpaceDN/>
        <w:adjustRightInd/>
        <w:spacing w:after="0"/>
        <w:textAlignment w:val="auto"/>
        <w:rPr>
          <w:rFonts w:eastAsia="MS Mincho"/>
          <w:i/>
          <w:lang w:val="en-US" w:eastAsia="ja-JP"/>
        </w:rPr>
      </w:pPr>
      <w:r w:rsidRPr="00F355AD">
        <w:rPr>
          <w:rFonts w:eastAsia="MS Mincho"/>
          <w:i/>
          <w:lang w:val="en-US" w:eastAsia="ja-JP"/>
        </w:rPr>
        <w:t>FFS: The multiple active BWPs may overlap in frequency domain.</w:t>
      </w:r>
    </w:p>
    <w:p w:rsidR="008F7146" w:rsidRPr="001B3743" w:rsidRDefault="00F355AD" w:rsidP="00BD10E6">
      <w:pPr>
        <w:numPr>
          <w:ilvl w:val="2"/>
          <w:numId w:val="44"/>
        </w:numPr>
        <w:overflowPunct/>
        <w:autoSpaceDE/>
        <w:autoSpaceDN/>
        <w:adjustRightInd/>
        <w:spacing w:after="0"/>
        <w:textAlignment w:val="auto"/>
        <w:rPr>
          <w:rFonts w:eastAsia="MS Mincho"/>
          <w:i/>
          <w:lang w:val="en-US" w:eastAsia="ja-JP"/>
        </w:rPr>
      </w:pPr>
      <w:r w:rsidRPr="00F355AD">
        <w:rPr>
          <w:rFonts w:eastAsia="MS Mincho"/>
          <w:i/>
          <w:lang w:eastAsia="ja-JP"/>
        </w:rPr>
        <w:t>FFS: Cross-BWP scheduling is supported.</w:t>
      </w:r>
    </w:p>
    <w:p w:rsidR="00000000" w:rsidRDefault="008F7146" w:rsidP="00BD10E6">
      <w:pPr>
        <w:spacing w:after="120"/>
        <w:rPr>
          <w:rFonts w:eastAsiaTheme="minorEastAsia"/>
          <w:lang w:val="en-US" w:eastAsia="zh-CN"/>
        </w:rPr>
      </w:pPr>
      <w:r>
        <w:rPr>
          <w:rFonts w:eastAsiaTheme="minorEastAsia" w:hint="eastAsia"/>
          <w:lang w:val="en-US" w:eastAsia="zh-CN"/>
        </w:rPr>
        <w:t>Considering current RAN1</w:t>
      </w:r>
      <w:r>
        <w:rPr>
          <w:rFonts w:eastAsiaTheme="minorEastAsia"/>
          <w:lang w:val="en-US" w:eastAsia="zh-CN"/>
        </w:rPr>
        <w:t>’</w:t>
      </w:r>
      <w:r>
        <w:rPr>
          <w:rFonts w:eastAsiaTheme="minorEastAsia" w:hint="eastAsia"/>
          <w:lang w:val="en-US" w:eastAsia="zh-CN"/>
        </w:rPr>
        <w:t xml:space="preserve">s workload and timeline, it seems also beneficial to postpone the case 3 into R16. </w:t>
      </w:r>
    </w:p>
    <w:p w:rsidR="008F7146" w:rsidRDefault="008F7146" w:rsidP="008F7146">
      <w:r>
        <w:rPr>
          <w:rFonts w:eastAsiaTheme="minorEastAsia" w:hint="eastAsia"/>
          <w:lang w:val="en-US" w:eastAsia="zh-CN"/>
        </w:rPr>
        <w:t xml:space="preserve">Compared to case1, </w:t>
      </w:r>
      <w:r w:rsidR="00BD10E6">
        <w:rPr>
          <w:rFonts w:eastAsiaTheme="minorEastAsia"/>
          <w:lang w:val="en-US" w:eastAsia="zh-CN"/>
        </w:rPr>
        <w:t>c</w:t>
      </w:r>
      <w:r>
        <w:rPr>
          <w:rFonts w:eastAsiaTheme="minorEastAsia" w:hint="eastAsia"/>
          <w:lang w:val="en-US" w:eastAsia="zh-CN"/>
        </w:rPr>
        <w:t xml:space="preserve">ase2 is beneficial in terms of bandwidth flexibility, power saving and system overhead including control channel overhead and data channel overhead. But case 1can have similar </w:t>
      </w:r>
      <w:r>
        <w:rPr>
          <w:rFonts w:eastAsiaTheme="minorEastAsia"/>
          <w:lang w:val="en-US" w:eastAsia="zh-CN"/>
        </w:rPr>
        <w:t>functionality</w:t>
      </w:r>
      <w:r>
        <w:rPr>
          <w:rFonts w:eastAsiaTheme="minorEastAsia" w:hint="eastAsia"/>
          <w:lang w:val="en-US" w:eastAsia="zh-CN"/>
        </w:rPr>
        <w:t xml:space="preserve"> by configuring multiple component carriers. And it is not clear what is the essential difference between activation/deactivation </w:t>
      </w:r>
      <w:r>
        <w:rPr>
          <w:rFonts w:eastAsiaTheme="minorEastAsia"/>
          <w:lang w:val="en-US" w:eastAsia="zh-CN"/>
        </w:rPr>
        <w:t>of bandwidth</w:t>
      </w:r>
      <w:r>
        <w:rPr>
          <w:rFonts w:eastAsiaTheme="minorEastAsia" w:hint="eastAsia"/>
          <w:lang w:val="en-US" w:eastAsia="zh-CN"/>
        </w:rPr>
        <w:t xml:space="preserve"> part and component carrier in terms of power saving.  In addition RAN1 may be able to finish the work before Dec.2017, but the introduction of bandwidth part also results in quite a lot work in other working group e.g RAN2 and RAN4. </w:t>
      </w:r>
      <w:r>
        <w:t xml:space="preserve">RAN2 only recently progressed on these aspects and agreed a measurement model and a number of agreements were made assuming single bandwidth part. Specifying multiple bandwidth parts will require significant discussion for the RRM and specifically the measurements and cell quality derivation. </w:t>
      </w:r>
    </w:p>
    <w:p w:rsidR="008F7146" w:rsidRDefault="008F7146" w:rsidP="008F7146">
      <w:r>
        <w:t>To illustrate the issues that need to be considered, we show the possible scenarios to consider (just for intra-freq</w:t>
      </w:r>
      <w:r w:rsidR="00BD10E6">
        <w:t xml:space="preserve">uency case) as shown in </w:t>
      </w:r>
      <w:r w:rsidR="00BD10E6">
        <w:fldChar w:fldCharType="begin"/>
      </w:r>
      <w:r w:rsidR="00BD10E6">
        <w:instrText xml:space="preserve"> REF _Ref492304118 \h </w:instrText>
      </w:r>
      <w:r w:rsidR="00BD10E6">
        <w:fldChar w:fldCharType="separate"/>
      </w:r>
      <w:r w:rsidR="00BD10E6">
        <w:t xml:space="preserve">Figure </w:t>
      </w:r>
      <w:r w:rsidR="00BD10E6">
        <w:rPr>
          <w:noProof/>
        </w:rPr>
        <w:t>1</w:t>
      </w:r>
      <w:r w:rsidR="00BD10E6">
        <w:fldChar w:fldCharType="end"/>
      </w:r>
      <w:r>
        <w:t xml:space="preserve"> below. </w:t>
      </w:r>
    </w:p>
    <w:p w:rsidR="00000000" w:rsidRDefault="008F7146">
      <w:pPr>
        <w:keepNext/>
        <w:jc w:val="center"/>
      </w:pPr>
      <w:r>
        <w:object w:dxaOrig="10157" w:dyaOrig="4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197.75pt" o:ole="">
            <v:imagedata r:id="rId8" o:title=""/>
          </v:shape>
          <o:OLEObject Type="Embed" ProgID="Visio.Drawing.11" ShapeID="_x0000_i1025" DrawAspect="Content" ObjectID="_1566046337" r:id="rId9"/>
        </w:object>
      </w:r>
    </w:p>
    <w:p w:rsidR="008F7146" w:rsidRDefault="008F7146" w:rsidP="008F7146">
      <w:pPr>
        <w:pStyle w:val="Caption"/>
        <w:jc w:val="center"/>
      </w:pPr>
      <w:bookmarkStart w:id="5" w:name="_Ref492304118"/>
      <w:r>
        <w:t xml:space="preserve">Figure </w:t>
      </w:r>
      <w:r w:rsidR="00F355AD">
        <w:fldChar w:fldCharType="begin"/>
      </w:r>
      <w:r>
        <w:instrText xml:space="preserve"> SEQ Figure \* ARABIC </w:instrText>
      </w:r>
      <w:r w:rsidR="00F355AD">
        <w:fldChar w:fldCharType="separate"/>
      </w:r>
      <w:r w:rsidR="00BD10E6">
        <w:rPr>
          <w:noProof/>
        </w:rPr>
        <w:t>1</w:t>
      </w:r>
      <w:r w:rsidR="00F355AD">
        <w:fldChar w:fldCharType="end"/>
      </w:r>
      <w:bookmarkEnd w:id="5"/>
      <w:r>
        <w:t>: Implications of BWP on measurements for intra frequency case</w:t>
      </w:r>
    </w:p>
    <w:p w:rsidR="00000000" w:rsidRDefault="008F7146">
      <w:pPr>
        <w:rPr>
          <w:rFonts w:eastAsiaTheme="minorEastAsia"/>
          <w:lang w:eastAsia="zh-CN"/>
        </w:rPr>
      </w:pPr>
      <w:r>
        <w:rPr>
          <w:rFonts w:eastAsiaTheme="minorEastAsia" w:hint="eastAsia"/>
          <w:lang w:eastAsia="zh-CN"/>
        </w:rPr>
        <w:t>In the Annex</w:t>
      </w:r>
      <w:r w:rsidR="00BD10E6">
        <w:rPr>
          <w:rFonts w:eastAsiaTheme="minorEastAsia"/>
          <w:lang w:eastAsia="zh-CN"/>
        </w:rPr>
        <w:t xml:space="preserve">, </w:t>
      </w:r>
      <w:r>
        <w:rPr>
          <w:rFonts w:eastAsiaTheme="minorEastAsia" w:hint="eastAsia"/>
          <w:lang w:eastAsia="zh-CN"/>
        </w:rPr>
        <w:t>more open issues related to measurement can be found. In short we think in R15 RAN working group should focus on case 1 i.e. single bandwidth part.</w:t>
      </w:r>
    </w:p>
    <w:p w:rsidR="008F7146" w:rsidRDefault="009D5A0F" w:rsidP="008F7146">
      <w:pPr>
        <w:pStyle w:val="Heading4"/>
      </w:pPr>
      <w:r>
        <w:t>2.3</w:t>
      </w:r>
      <w:r w:rsidR="008F7146">
        <w:t xml:space="preserve"> Multi-TRP transmission using multiple PDCCHs</w:t>
      </w:r>
    </w:p>
    <w:p w:rsidR="008F7146" w:rsidRPr="00E110E5" w:rsidRDefault="008F7146" w:rsidP="008F7146">
      <w:pPr>
        <w:overflowPunct/>
        <w:autoSpaceDE/>
        <w:autoSpaceDN/>
        <w:adjustRightInd/>
        <w:spacing w:after="0"/>
        <w:textAlignment w:val="auto"/>
      </w:pPr>
      <w:r>
        <w:t xml:space="preserve">Multi-TRP transmission is one of the features supported in NR MIMO.  </w:t>
      </w:r>
      <w:r w:rsidRPr="00E110E5">
        <w:t xml:space="preserve">The following </w:t>
      </w:r>
      <w:r>
        <w:t xml:space="preserve">two approaches of supporting </w:t>
      </w:r>
      <w:r w:rsidRPr="00E110E5">
        <w:t xml:space="preserve">multi-TRP transmission have been agreed in RAN1. </w:t>
      </w:r>
    </w:p>
    <w:p w:rsidR="008F7146" w:rsidRPr="00890194" w:rsidRDefault="008F7146" w:rsidP="008F7146">
      <w:pPr>
        <w:numPr>
          <w:ilvl w:val="0"/>
          <w:numId w:val="35"/>
        </w:numPr>
        <w:overflowPunct/>
        <w:autoSpaceDE/>
        <w:autoSpaceDN/>
        <w:adjustRightInd/>
        <w:spacing w:after="0"/>
        <w:textAlignment w:val="auto"/>
      </w:pPr>
      <w:r w:rsidRPr="00890194">
        <w:rPr>
          <w:i/>
        </w:rPr>
        <w:t>Single NR-PDCCH approach</w:t>
      </w:r>
      <w:r>
        <w:t xml:space="preserve">: </w:t>
      </w:r>
      <w:r w:rsidRPr="00E110E5">
        <w:t xml:space="preserve">Single NR-PDCCH schedules single NR-PDSCH where separate layers are transmitted from separate </w:t>
      </w:r>
      <w:r w:rsidRPr="00890194">
        <w:t>TRPs (Note: the case of single NR-PDCCH schedules single NR-PDSCH where each layer is transmitted from all TRPs jointly can be done in a spec-transparent manner).</w:t>
      </w:r>
    </w:p>
    <w:p w:rsidR="008F7146" w:rsidRPr="00E110E5" w:rsidRDefault="008F7146" w:rsidP="008F7146">
      <w:pPr>
        <w:numPr>
          <w:ilvl w:val="0"/>
          <w:numId w:val="35"/>
        </w:numPr>
        <w:overflowPunct/>
        <w:autoSpaceDE/>
        <w:autoSpaceDN/>
        <w:adjustRightInd/>
        <w:spacing w:after="0"/>
        <w:textAlignment w:val="auto"/>
      </w:pPr>
      <w:r w:rsidRPr="00890194">
        <w:rPr>
          <w:i/>
        </w:rPr>
        <w:t>Multiple NR-PDCCHs approach</w:t>
      </w:r>
      <w:r>
        <w:t>: Each of m</w:t>
      </w:r>
      <w:r w:rsidRPr="00E110E5">
        <w:t>ultip</w:t>
      </w:r>
      <w:r>
        <w:t>le NR-PDCCHs schedules</w:t>
      </w:r>
      <w:r w:rsidRPr="00E110E5">
        <w:t xml:space="preserve"> a respective NR-PDSCH where each NR-PDSCH is </w:t>
      </w:r>
      <w:r>
        <w:t>transmitted from a separate TRP.</w:t>
      </w:r>
    </w:p>
    <w:p w:rsidR="008F7146" w:rsidRDefault="008F7146" w:rsidP="008F7146">
      <w:pPr>
        <w:spacing w:before="120" w:after="120"/>
        <w:jc w:val="both"/>
      </w:pPr>
      <w:r>
        <w:t>The major difference between these two approaches is whether to use a single NR-PDCCH or multiple NR-PDCCHs to support scheduling at multiple TRPs. The single NR-PDCCH approach has been well studied in LTE and NR SI.  This approach often relies on ideal or fast backhaul since scheduling information from multiple TRPs is jointly indicated to a UE via one NR-PDCCH. RAN1 has reached most of the agreements to sufficiently support the single NR-PDCCH approach according to the current RAN1 progress.</w:t>
      </w:r>
    </w:p>
    <w:p w:rsidR="008F7146" w:rsidRDefault="008F7146" w:rsidP="008F7146">
      <w:pPr>
        <w:jc w:val="both"/>
      </w:pPr>
      <w:r>
        <w:t xml:space="preserve">In contrast, the multiple NR-PDCCHs approach requires less coordination between multiple TRPs as scheduling information of each TRP can be delivered to the UE independently via multiple PDCCHs. This has the benefit on supporting multi-TRP transmission with non-ideal backhaul. In order to support non-ideal backhaul, multiple NR-PUCCH/PUSCHs seem to be necessary as well especially for multi-panel scenarios.  However, this together with multiple NR-PDCCHs potentially requires substantial standardization effort to make sure the benefit of multiple NR-PDCCHs approach can be sufficiently exploited.  There are still quite a lot of open issues such as how UEs detect multiple NR-PDCCHs, how UEs report multiple CSIs (e.g. whether to report CSIs on multi-PUCCH/PUSCH), how rate-matching is done in multiple PDSCHs, etc. In addition, it is important to design a good forward compatible framework so that it can be extended to more NR-PDCCHs in the future as it has been agreed to only support two </w:t>
      </w:r>
      <w:r>
        <w:lastRenderedPageBreak/>
        <w:t>NR-PDCCHs and two NR-PDSCHs so far. It is challenging to ensure a good design of supporting multi-TRP transmission using multi-NR-PDCCHs within very tight schedule in NR Phase 1 from RAN1 perspective.</w:t>
      </w:r>
    </w:p>
    <w:p w:rsidR="008F7146" w:rsidRDefault="008F7146" w:rsidP="008F7146">
      <w:r>
        <w:t>From higher layer perspective, significant i</w:t>
      </w:r>
      <w:r w:rsidRPr="000E50C9">
        <w:t xml:space="preserve">mpacts </w:t>
      </w:r>
      <w:r>
        <w:t>are expected for</w:t>
      </w:r>
      <w:r w:rsidRPr="000E50C9">
        <w:t xml:space="preserve"> the multiple NR-PDCCHs case, i</w:t>
      </w:r>
      <w:r>
        <w:t xml:space="preserve">f non-ideal backhaul is assumed. More specifically, </w:t>
      </w:r>
      <w:r w:rsidRPr="000E50C9">
        <w:t>if the TRPs (transmitting the multiple PDCCHs) connected via non-ideal backhaul are char</w:t>
      </w:r>
      <w:r>
        <w:t>acterized by different cell IDs</w:t>
      </w:r>
      <w:r w:rsidRPr="000E50C9">
        <w:t xml:space="preserve"> then </w:t>
      </w:r>
      <w:r>
        <w:t xml:space="preserve">the higher layer impact would </w:t>
      </w:r>
      <w:r w:rsidRPr="000E50C9">
        <w:t xml:space="preserve">probably </w:t>
      </w:r>
      <w:r>
        <w:t>be minimal or limited: d</w:t>
      </w:r>
      <w:r w:rsidRPr="000E50C9">
        <w:t xml:space="preserve">ifferent TRPs would </w:t>
      </w:r>
      <w:r>
        <w:t xml:space="preserve">likely simply be seen as different cells, each one transmitting a single NR-PDCCH. But </w:t>
      </w:r>
      <w:r w:rsidRPr="000E50C9">
        <w:t>if the TRPs (transmitting the multiple PDCCHs) connected via non-ideal backhaul are character</w:t>
      </w:r>
      <w:r>
        <w:t>ized by the same cell IDs, some problems would arise. For instance it’s not clear whether all the TRPs would transmit the same NR-PSS/SSS. If yes, w</w:t>
      </w:r>
      <w:r w:rsidRPr="000E50C9">
        <w:t xml:space="preserve">hich sync signal(s) should </w:t>
      </w:r>
      <w:r>
        <w:t xml:space="preserve">be considered by an idle/connected UE? And then, is a L3 mobility procedure needed among TRPs of the same cell? Based on which RRC measurements? Furthermore supporting multiple TRPs </w:t>
      </w:r>
      <w:r w:rsidRPr="000E50C9">
        <w:t xml:space="preserve">connected via non-ideal backhaul </w:t>
      </w:r>
      <w:r>
        <w:t>in the same cell would imply</w:t>
      </w:r>
      <w:r w:rsidRPr="000E50C9">
        <w:t xml:space="preserve"> having multiple MAC entities </w:t>
      </w:r>
      <w:r>
        <w:t>in the same cell, leading to a major re-design of the higher layer architecture assumed so far.</w:t>
      </w:r>
    </w:p>
    <w:p w:rsidR="008F7146" w:rsidRDefault="008F7146" w:rsidP="008F7146">
      <w:r>
        <w:t xml:space="preserve">In summary, whether to </w:t>
      </w:r>
      <w:r w:rsidRPr="0018544F">
        <w:t xml:space="preserve">support </w:t>
      </w:r>
      <w:r>
        <w:t>the approach of multiple NR-PDCCHs for multiple TRPs would correspond to different network deployment topology and/or architecture (like CoMP scenarios 3 and 4 in LTE), and the corresponding topology and/or architecture can lead to different specification paths and complexities in at least RAN1 and RAN2. Given current NR time frame and status of progress, it is preferred not to treat multi-TRP using multiple NR-PDCCHs in Rel-15.</w:t>
      </w:r>
    </w:p>
    <w:p w:rsidR="00EC6898" w:rsidRPr="00E12FA3" w:rsidRDefault="00EC6898" w:rsidP="00EC6898">
      <w:pPr>
        <w:pStyle w:val="Heading4"/>
      </w:pPr>
      <w:r>
        <w:rPr>
          <w:rFonts w:eastAsia="宋体" w:hint="eastAsia"/>
          <w:lang w:eastAsia="zh-CN"/>
        </w:rPr>
        <w:t>2.</w:t>
      </w:r>
      <w:r w:rsidR="009D5A0F">
        <w:rPr>
          <w:rFonts w:eastAsia="宋体"/>
          <w:lang w:eastAsia="zh-CN"/>
        </w:rPr>
        <w:t>4</w:t>
      </w:r>
      <w:r>
        <w:rPr>
          <w:rFonts w:eastAsia="宋体" w:hint="eastAsia"/>
          <w:lang w:eastAsia="zh-CN"/>
        </w:rPr>
        <w:t xml:space="preserve"> </w:t>
      </w:r>
      <w:r w:rsidRPr="00E12FA3">
        <w:rPr>
          <w:rFonts w:hint="eastAsia"/>
        </w:rPr>
        <w:t>RACH capacity enhancement</w:t>
      </w:r>
    </w:p>
    <w:p w:rsidR="00EC6898" w:rsidRDefault="00EC6898" w:rsidP="00EC6898">
      <w:pPr>
        <w:spacing w:after="0"/>
        <w:rPr>
          <w:rFonts w:ascii="Helv" w:eastAsia="MS Mincho" w:hAnsi="Helv" w:cs="Helv"/>
          <w:color w:val="000000"/>
          <w:lang w:val="en-US" w:eastAsia="zh-CN"/>
        </w:rPr>
      </w:pPr>
      <w:r>
        <w:t>In RAN1#89 and NR Ad-Hoc#2,</w:t>
      </w:r>
      <w:r w:rsidRPr="00E12FA3">
        <w:t xml:space="preserve"> it was agreed to further study the necessity of RACH capacity enhancement for preamble formats using short sequence length (127 or 139). The sequence length of 127 is only considered if capacity enhancement </w:t>
      </w:r>
      <w:r w:rsidR="00D927F9">
        <w:t>is</w:t>
      </w:r>
      <w:r w:rsidRPr="00E12FA3">
        <w:t xml:space="preserve"> needed.</w:t>
      </w:r>
      <w:r w:rsidRPr="00E12FA3">
        <w:rPr>
          <w:rFonts w:hint="eastAsia"/>
        </w:rPr>
        <w:t xml:space="preserve"> </w:t>
      </w:r>
      <w:r>
        <w:t>N</w:t>
      </w:r>
      <w:r w:rsidRPr="00E12FA3">
        <w:t xml:space="preserve">o </w:t>
      </w:r>
      <w:r>
        <w:t xml:space="preserve">further </w:t>
      </w:r>
      <w:r w:rsidRPr="00E12FA3">
        <w:t xml:space="preserve">agreement </w:t>
      </w:r>
      <w:r w:rsidR="00D927F9" w:rsidRPr="00E12FA3">
        <w:t xml:space="preserve">was made </w:t>
      </w:r>
      <w:r w:rsidR="00D927F9">
        <w:t xml:space="preserve">in RAN1 #90 </w:t>
      </w:r>
      <w:r w:rsidRPr="00E12FA3">
        <w:t>on RACH capacity enhancement. </w:t>
      </w:r>
      <w:r>
        <w:t xml:space="preserve">RAN1 jumped onto the discussion of different enhancement solutions, without clearly answering the key questions such as:  </w:t>
      </w:r>
    </w:p>
    <w:p w:rsidR="00EC6898" w:rsidRPr="00EC6898" w:rsidRDefault="00EC6898" w:rsidP="00EC6898">
      <w:pPr>
        <w:numPr>
          <w:ilvl w:val="0"/>
          <w:numId w:val="43"/>
        </w:numPr>
        <w:spacing w:after="0"/>
      </w:pPr>
      <w:r w:rsidRPr="00EC6898">
        <w:rPr>
          <w:rFonts w:eastAsia="MS Mincho"/>
          <w:color w:val="000000"/>
          <w:lang w:val="en-US" w:eastAsia="zh-CN"/>
        </w:rPr>
        <w:t>the necessity of RACH capacity enhancement</w:t>
      </w:r>
      <w:r>
        <w:rPr>
          <w:rFonts w:eastAsia="MS Mincho"/>
          <w:color w:val="000000"/>
          <w:lang w:val="en-US" w:eastAsia="zh-CN"/>
        </w:rPr>
        <w:t>;</w:t>
      </w:r>
    </w:p>
    <w:p w:rsidR="00EC6898" w:rsidRPr="00EC6898" w:rsidRDefault="00EC6898" w:rsidP="00EC6898">
      <w:pPr>
        <w:numPr>
          <w:ilvl w:val="0"/>
          <w:numId w:val="43"/>
        </w:numPr>
        <w:spacing w:after="0"/>
      </w:pPr>
      <w:r>
        <w:rPr>
          <w:rFonts w:eastAsia="MS Mincho"/>
          <w:color w:val="000000"/>
          <w:lang w:eastAsia="zh-CN"/>
        </w:rPr>
        <w:t>the</w:t>
      </w:r>
      <w:r w:rsidRPr="00EC6898">
        <w:rPr>
          <w:rFonts w:eastAsia="MS Mincho"/>
          <w:color w:val="000000"/>
          <w:lang w:val="en-US" w:eastAsia="zh-CN"/>
        </w:rPr>
        <w:t xml:space="preserve"> amount of capacity enhancement that would be needed (</w:t>
      </w:r>
      <w:r>
        <w:rPr>
          <w:rFonts w:eastAsia="MS Mincho"/>
          <w:color w:val="000000"/>
          <w:lang w:val="en-US" w:eastAsia="zh-CN"/>
        </w:rPr>
        <w:t xml:space="preserve">e.g., </w:t>
      </w:r>
      <w:r w:rsidRPr="00EC6898">
        <w:rPr>
          <w:rFonts w:eastAsia="MS Mincho"/>
          <w:color w:val="000000"/>
          <w:lang w:val="en-US" w:eastAsia="zh-CN"/>
        </w:rPr>
        <w:t>more users, beam recovery, etc).</w:t>
      </w:r>
    </w:p>
    <w:p w:rsidR="00EC6898" w:rsidRDefault="00EC6898" w:rsidP="00EC6898">
      <w:pPr>
        <w:numPr>
          <w:ilvl w:val="0"/>
          <w:numId w:val="43"/>
        </w:numPr>
        <w:spacing w:after="0"/>
      </w:pPr>
      <w:r>
        <w:rPr>
          <w:rFonts w:eastAsia="MS Mincho"/>
          <w:color w:val="000000"/>
          <w:lang w:eastAsia="zh-CN"/>
        </w:rPr>
        <w:t>under how much resources the RACH capacity enhancement is considered.</w:t>
      </w:r>
    </w:p>
    <w:p w:rsidR="00EC6898" w:rsidRPr="00EC6898" w:rsidRDefault="00EC6898" w:rsidP="00EC6898">
      <w:pPr>
        <w:spacing w:after="0"/>
      </w:pPr>
      <w:r>
        <w:t xml:space="preserve">In our view, </w:t>
      </w:r>
      <w:r w:rsidR="001C5192">
        <w:t xml:space="preserve">without finding the agreeable answers to above questions, there is no need to adopt any of the proposed solutions at least based on the discussion so far in RAN1. It would be more meaningful for RAN1 to focus on how to configure all of agreed PRACH preamble </w:t>
      </w:r>
      <w:r w:rsidR="001C5192" w:rsidRPr="001C5192">
        <w:t>formats  (</w:t>
      </w:r>
      <w:r w:rsidR="001C5192" w:rsidRPr="001C5192">
        <w:rPr>
          <w:rFonts w:eastAsia="MS Mincho"/>
          <w:color w:val="000000"/>
          <w:lang w:val="en-US" w:eastAsia="zh-CN"/>
        </w:rPr>
        <w:t>mapping to the frame structure</w:t>
      </w:r>
      <w:r w:rsidR="001C5192" w:rsidRPr="001C5192">
        <w:t>), instead</w:t>
      </w:r>
      <w:r w:rsidR="001C5192">
        <w:t xml:space="preserve"> of capacity enhancement. On the other hand, to find agreeable answers to the abo</w:t>
      </w:r>
      <w:r w:rsidR="009F7DAD">
        <w:t>ve questions and then to work</w:t>
      </w:r>
      <w:r w:rsidR="001C5192">
        <w:t xml:space="preserve"> on the </w:t>
      </w:r>
      <w:r w:rsidR="009F7DAD">
        <w:t xml:space="preserve">enhancement </w:t>
      </w:r>
      <w:r w:rsidR="001C5192">
        <w:t>solutions based on those answers would probably need at least two RAN1 meetings. Given the current tight NR schedule and the fact that this is an enhancement anyway, the RACH capacity enha</w:t>
      </w:r>
      <w:r w:rsidR="00D927F9">
        <w:t>ncement c</w:t>
      </w:r>
      <w:r w:rsidR="001C5192">
        <w:t xml:space="preserve">ould be de-prioritized. </w:t>
      </w:r>
    </w:p>
    <w:p w:rsidR="00E00B17" w:rsidRDefault="00916091" w:rsidP="004A3A86">
      <w:pPr>
        <w:pStyle w:val="Heading3"/>
        <w:ind w:left="720" w:hanging="720"/>
      </w:pPr>
      <w:r>
        <w:t>3</w:t>
      </w:r>
      <w:r w:rsidRPr="00A079D3">
        <w:tab/>
      </w:r>
      <w:r w:rsidR="00E00B17">
        <w:t>Conclusions</w:t>
      </w:r>
    </w:p>
    <w:p w:rsidR="006C3BE5" w:rsidRDefault="006C3BE5" w:rsidP="006C3BE5">
      <w:pPr>
        <w:spacing w:after="0"/>
      </w:pPr>
      <w:r>
        <w:t>The contribution concludes with following proposal:</w:t>
      </w:r>
    </w:p>
    <w:p w:rsidR="006C3BE5" w:rsidRDefault="006C3BE5" w:rsidP="006C3BE5">
      <w:pPr>
        <w:spacing w:after="0"/>
        <w:rPr>
          <w:b/>
          <w:i/>
        </w:rPr>
      </w:pPr>
      <w:r>
        <w:rPr>
          <w:b/>
          <w:i/>
        </w:rPr>
        <w:t>Proposal</w:t>
      </w:r>
      <w:r w:rsidRPr="00424C95">
        <w:rPr>
          <w:b/>
          <w:i/>
        </w:rPr>
        <w:t xml:space="preserve">: If NR Rel-15 working scope should be narrowed down </w:t>
      </w:r>
      <w:r>
        <w:rPr>
          <w:b/>
          <w:i/>
        </w:rPr>
        <w:t>to accelerate specification</w:t>
      </w:r>
      <w:r w:rsidRPr="00424C95">
        <w:rPr>
          <w:b/>
          <w:i/>
        </w:rPr>
        <w:t xml:space="preserve">, consider </w:t>
      </w:r>
      <w:r w:rsidR="00424342" w:rsidRPr="00424C95">
        <w:rPr>
          <w:b/>
          <w:i/>
        </w:rPr>
        <w:t>de-prioritizing</w:t>
      </w:r>
      <w:r>
        <w:rPr>
          <w:b/>
          <w:i/>
        </w:rPr>
        <w:t xml:space="preserve"> some features, including</w:t>
      </w:r>
      <w:r w:rsidRPr="00424C95">
        <w:rPr>
          <w:b/>
          <w:i/>
        </w:rPr>
        <w:t xml:space="preserve"> </w:t>
      </w:r>
    </w:p>
    <w:p w:rsidR="006C3BE5" w:rsidRDefault="006C3BE5" w:rsidP="006C3BE5">
      <w:pPr>
        <w:numPr>
          <w:ilvl w:val="0"/>
          <w:numId w:val="36"/>
        </w:numPr>
        <w:spacing w:after="0"/>
        <w:rPr>
          <w:b/>
          <w:i/>
        </w:rPr>
      </w:pPr>
      <w:r w:rsidRPr="0098094E">
        <w:rPr>
          <w:b/>
          <w:i/>
        </w:rPr>
        <w:t>NR-LTE coexistence</w:t>
      </w:r>
      <w:r w:rsidR="0098094E" w:rsidRPr="0098094E">
        <w:rPr>
          <w:b/>
          <w:i/>
        </w:rPr>
        <w:t xml:space="preserve"> requiring </w:t>
      </w:r>
      <w:r w:rsidR="00B970CD">
        <w:rPr>
          <w:b/>
          <w:i/>
        </w:rPr>
        <w:t xml:space="preserve">both </w:t>
      </w:r>
      <w:r w:rsidR="0098094E" w:rsidRPr="0098094E">
        <w:rPr>
          <w:b/>
          <w:i/>
        </w:rPr>
        <w:t xml:space="preserve">co-channel sharing between LTE and NR </w:t>
      </w:r>
      <w:r w:rsidR="00A90212">
        <w:rPr>
          <w:rFonts w:eastAsiaTheme="minorEastAsia" w:hint="eastAsia"/>
          <w:b/>
          <w:i/>
          <w:lang w:eastAsia="zh-CN"/>
        </w:rPr>
        <w:t xml:space="preserve">and band combination between </w:t>
      </w:r>
      <w:r w:rsidR="00731CF6">
        <w:rPr>
          <w:rFonts w:eastAsiaTheme="minorEastAsia"/>
          <w:b/>
          <w:i/>
          <w:lang w:eastAsia="zh-CN"/>
        </w:rPr>
        <w:t>different bands;</w:t>
      </w:r>
    </w:p>
    <w:p w:rsidR="00731CF6" w:rsidRPr="0054346A" w:rsidRDefault="00731CF6" w:rsidP="00731CF6">
      <w:pPr>
        <w:numPr>
          <w:ilvl w:val="0"/>
          <w:numId w:val="36"/>
        </w:numPr>
        <w:spacing w:after="0"/>
        <w:rPr>
          <w:b/>
          <w:i/>
        </w:rPr>
      </w:pPr>
      <w:r>
        <w:rPr>
          <w:rFonts w:eastAsiaTheme="minorEastAsia" w:hint="eastAsia"/>
          <w:b/>
          <w:i/>
          <w:lang w:eastAsia="zh-CN"/>
        </w:rPr>
        <w:t>Multiple bandwidth part</w:t>
      </w:r>
      <w:r w:rsidR="00BD10E6">
        <w:rPr>
          <w:rFonts w:eastAsiaTheme="minorEastAsia"/>
          <w:b/>
          <w:i/>
          <w:lang w:eastAsia="zh-CN"/>
        </w:rPr>
        <w:t>s</w:t>
      </w:r>
      <w:r>
        <w:rPr>
          <w:rFonts w:eastAsiaTheme="minorEastAsia"/>
          <w:b/>
          <w:i/>
          <w:lang w:eastAsia="zh-CN"/>
        </w:rPr>
        <w:t>;</w:t>
      </w:r>
    </w:p>
    <w:p w:rsidR="00731CF6" w:rsidRPr="006C3BE5" w:rsidRDefault="00731CF6" w:rsidP="00731CF6">
      <w:pPr>
        <w:numPr>
          <w:ilvl w:val="0"/>
          <w:numId w:val="36"/>
        </w:numPr>
        <w:spacing w:after="0"/>
        <w:rPr>
          <w:b/>
          <w:i/>
        </w:rPr>
      </w:pPr>
      <w:r w:rsidRPr="006C3BE5">
        <w:rPr>
          <w:b/>
          <w:i/>
        </w:rPr>
        <w:lastRenderedPageBreak/>
        <w:t xml:space="preserve">Multi-TRP transmission using multiple </w:t>
      </w:r>
      <w:r w:rsidR="00BD10E6">
        <w:rPr>
          <w:b/>
          <w:i/>
        </w:rPr>
        <w:t>NR-</w:t>
      </w:r>
      <w:r w:rsidRPr="006C3BE5">
        <w:rPr>
          <w:b/>
          <w:i/>
        </w:rPr>
        <w:t>PDCCHs</w:t>
      </w:r>
      <w:r>
        <w:rPr>
          <w:b/>
          <w:i/>
        </w:rPr>
        <w:t>;</w:t>
      </w:r>
    </w:p>
    <w:p w:rsidR="00D927F9" w:rsidRPr="0098094E" w:rsidRDefault="00D927F9" w:rsidP="006C3BE5">
      <w:pPr>
        <w:numPr>
          <w:ilvl w:val="0"/>
          <w:numId w:val="36"/>
        </w:numPr>
        <w:spacing w:after="0"/>
        <w:rPr>
          <w:b/>
          <w:i/>
        </w:rPr>
      </w:pPr>
      <w:r>
        <w:rPr>
          <w:b/>
          <w:i/>
        </w:rPr>
        <w:t xml:space="preserve">RACH capacity enhancement. </w:t>
      </w:r>
    </w:p>
    <w:p w:rsidR="00A6212E" w:rsidRPr="00A6212E" w:rsidRDefault="00A6212E" w:rsidP="00A6212E">
      <w:pPr>
        <w:rPr>
          <w:rFonts w:eastAsiaTheme="minorEastAsia"/>
          <w:lang w:eastAsia="zh-CN"/>
        </w:rPr>
      </w:pPr>
    </w:p>
    <w:p w:rsidR="00916091" w:rsidRDefault="004B3C92" w:rsidP="004A3A86">
      <w:pPr>
        <w:pStyle w:val="Heading3"/>
        <w:ind w:left="720" w:hanging="720"/>
      </w:pPr>
      <w:r>
        <w:t>References</w:t>
      </w:r>
    </w:p>
    <w:p w:rsidR="00D03575" w:rsidRPr="00CA129A" w:rsidRDefault="00947B1E" w:rsidP="00D03575">
      <w:pPr>
        <w:pStyle w:val="LGTdoc1"/>
        <w:numPr>
          <w:ilvl w:val="0"/>
          <w:numId w:val="19"/>
        </w:numPr>
        <w:spacing w:beforeLines="0" w:after="0" w:afterAutospacing="0"/>
        <w:rPr>
          <w:b w:val="0"/>
          <w:sz w:val="20"/>
        </w:rPr>
      </w:pPr>
      <w:bookmarkStart w:id="6" w:name="_Ref492212585"/>
      <w:r>
        <w:rPr>
          <w:rFonts w:ascii="Times" w:hAnsi="Times" w:cs="Times"/>
          <w:b w:val="0"/>
          <w:bCs/>
          <w:color w:val="000000"/>
          <w:sz w:val="20"/>
        </w:rPr>
        <w:t>RP-171485, Revised WID on New Radio Access Technology, NTT DoCoMo</w:t>
      </w:r>
      <w:r w:rsidR="005B7D5F">
        <w:rPr>
          <w:rFonts w:ascii="Times" w:hAnsi="Times" w:cs="Times"/>
          <w:b w:val="0"/>
          <w:bCs/>
          <w:color w:val="000000"/>
          <w:sz w:val="20"/>
        </w:rPr>
        <w:t>.</w:t>
      </w:r>
      <w:bookmarkStart w:id="7" w:name="_Ref491953315"/>
      <w:bookmarkEnd w:id="6"/>
    </w:p>
    <w:p w:rsidR="00F8405F" w:rsidRDefault="00F8405F" w:rsidP="00D14D5E">
      <w:pPr>
        <w:pStyle w:val="LGTdoc1"/>
        <w:numPr>
          <w:ilvl w:val="0"/>
          <w:numId w:val="19"/>
        </w:numPr>
        <w:spacing w:beforeLines="0" w:after="0" w:afterAutospacing="0"/>
        <w:jc w:val="left"/>
        <w:rPr>
          <w:b w:val="0"/>
          <w:sz w:val="20"/>
        </w:rPr>
      </w:pPr>
      <w:bookmarkStart w:id="8" w:name="_Ref491959634"/>
      <w:bookmarkEnd w:id="7"/>
      <w:r w:rsidRPr="00F8405F">
        <w:rPr>
          <w:b w:val="0"/>
          <w:sz w:val="20"/>
        </w:rPr>
        <w:t>R1-1714172</w:t>
      </w:r>
      <w:r>
        <w:rPr>
          <w:b w:val="0"/>
          <w:sz w:val="20"/>
        </w:rPr>
        <w:t>,</w:t>
      </w:r>
      <w:r w:rsidRPr="00F8405F">
        <w:rPr>
          <w:b w:val="0"/>
          <w:sz w:val="20"/>
        </w:rPr>
        <w:t xml:space="preserve"> Study on uplink coverage with band combination</w:t>
      </w:r>
      <w:r>
        <w:rPr>
          <w:b w:val="0"/>
          <w:sz w:val="20"/>
        </w:rPr>
        <w:t>, ZTE</w:t>
      </w:r>
      <w:bookmarkEnd w:id="8"/>
    </w:p>
    <w:p w:rsidR="003D30AE" w:rsidRDefault="003D30AE" w:rsidP="00D14D5E">
      <w:pPr>
        <w:pStyle w:val="LGTdoc1"/>
        <w:numPr>
          <w:ilvl w:val="0"/>
          <w:numId w:val="19"/>
        </w:numPr>
        <w:spacing w:beforeLines="0" w:after="0" w:afterAutospacing="0"/>
        <w:jc w:val="left"/>
        <w:rPr>
          <w:b w:val="0"/>
          <w:sz w:val="20"/>
        </w:rPr>
      </w:pPr>
      <w:bookmarkStart w:id="9" w:name="_Ref491964107"/>
      <w:r w:rsidRPr="003D30AE">
        <w:rPr>
          <w:b w:val="0"/>
          <w:sz w:val="20"/>
        </w:rPr>
        <w:t>R1-1709844</w:t>
      </w:r>
      <w:r>
        <w:rPr>
          <w:b w:val="0"/>
          <w:sz w:val="20"/>
        </w:rPr>
        <w:t>,</w:t>
      </w:r>
      <w:r w:rsidRPr="003D30AE">
        <w:rPr>
          <w:b w:val="0"/>
          <w:sz w:val="20"/>
        </w:rPr>
        <w:t xml:space="preserve"> Wor</w:t>
      </w:r>
      <w:r>
        <w:rPr>
          <w:b w:val="0"/>
          <w:sz w:val="20"/>
        </w:rPr>
        <w:t>k</w:t>
      </w:r>
      <w:r w:rsidRPr="003D30AE">
        <w:rPr>
          <w:b w:val="0"/>
          <w:sz w:val="20"/>
        </w:rPr>
        <w:t>pla</w:t>
      </w:r>
      <w:r>
        <w:rPr>
          <w:b w:val="0"/>
          <w:sz w:val="20"/>
        </w:rPr>
        <w:t>n for LTE-NR coexistence, Huawei</w:t>
      </w:r>
      <w:bookmarkEnd w:id="9"/>
    </w:p>
    <w:p w:rsidR="007D7A38" w:rsidRDefault="007D7A38" w:rsidP="00D14D5E">
      <w:pPr>
        <w:pStyle w:val="LGTdoc1"/>
        <w:numPr>
          <w:ilvl w:val="0"/>
          <w:numId w:val="19"/>
        </w:numPr>
        <w:spacing w:beforeLines="0" w:after="0" w:afterAutospacing="0"/>
        <w:jc w:val="left"/>
        <w:rPr>
          <w:b w:val="0"/>
          <w:sz w:val="20"/>
        </w:rPr>
      </w:pPr>
      <w:bookmarkStart w:id="10" w:name="_Ref491973326"/>
      <w:r>
        <w:rPr>
          <w:b w:val="0"/>
          <w:sz w:val="20"/>
        </w:rPr>
        <w:t xml:space="preserve">R4-1704411, </w:t>
      </w:r>
      <w:r w:rsidRPr="007D7A38">
        <w:rPr>
          <w:b w:val="0"/>
          <w:sz w:val="20"/>
        </w:rPr>
        <w:t>Band</w:t>
      </w:r>
      <w:r>
        <w:rPr>
          <w:b w:val="0"/>
          <w:sz w:val="20"/>
        </w:rPr>
        <w:t xml:space="preserve"> Combination And </w:t>
      </w:r>
      <w:r w:rsidRPr="007D7A38">
        <w:rPr>
          <w:b w:val="0"/>
          <w:sz w:val="20"/>
        </w:rPr>
        <w:t>workplan for UL Sharing</w:t>
      </w:r>
      <w:r>
        <w:rPr>
          <w:b w:val="0"/>
          <w:sz w:val="20"/>
        </w:rPr>
        <w:t xml:space="preserve">, </w:t>
      </w:r>
      <w:r w:rsidRPr="007D7A38">
        <w:rPr>
          <w:b w:val="0"/>
          <w:sz w:val="20"/>
        </w:rPr>
        <w:t>Huawei, HiSilicon, CMCC, China Telecom, China Unicom, Orange, Coolpad, Intel, Telefonica, Deutsche Telekom, Etisalat</w:t>
      </w:r>
      <w:bookmarkEnd w:id="10"/>
    </w:p>
    <w:p w:rsidR="005C689A" w:rsidRPr="00F05662" w:rsidRDefault="005C689A" w:rsidP="00D14D5E">
      <w:pPr>
        <w:pStyle w:val="LGTdoc1"/>
        <w:numPr>
          <w:ilvl w:val="0"/>
          <w:numId w:val="19"/>
        </w:numPr>
        <w:spacing w:beforeLines="0" w:after="0" w:afterAutospacing="0"/>
        <w:jc w:val="left"/>
        <w:rPr>
          <w:b w:val="0"/>
          <w:sz w:val="20"/>
        </w:rPr>
      </w:pPr>
      <w:bookmarkStart w:id="11" w:name="_Ref492006854"/>
      <w:r>
        <w:rPr>
          <w:b w:val="0"/>
          <w:sz w:val="20"/>
        </w:rPr>
        <w:t>R1-1711817</w:t>
      </w:r>
      <w:r w:rsidRPr="005C689A">
        <w:rPr>
          <w:b w:val="0"/>
          <w:sz w:val="20"/>
        </w:rPr>
        <w:t xml:space="preserve">, </w:t>
      </w:r>
      <w:r w:rsidRPr="005C689A">
        <w:rPr>
          <w:rFonts w:eastAsia="MS Mincho"/>
          <w:b w:val="0"/>
          <w:sz w:val="20"/>
          <w:lang w:eastAsia="ja-JP"/>
        </w:rPr>
        <w:t xml:space="preserve">WF on LTE/NR DC deployment scenarios to extend NR UL coverage </w:t>
      </w:r>
      <w:r w:rsidRPr="005C689A">
        <w:rPr>
          <w:rFonts w:eastAsia="MS Mincho"/>
          <w:b w:val="0"/>
          <w:sz w:val="20"/>
          <w:lang w:val="en-US" w:eastAsia="ja-JP"/>
        </w:rPr>
        <w:t>Orange, Deutsche Telekom, Ericsson, China Unicom, OPPO, Huawei, China Telecom, Nokia, ZTE</w:t>
      </w:r>
      <w:bookmarkEnd w:id="11"/>
    </w:p>
    <w:p w:rsidR="002545CA" w:rsidRPr="002545CA" w:rsidRDefault="002545CA" w:rsidP="00D14D5E">
      <w:pPr>
        <w:pStyle w:val="LGTdoc1"/>
        <w:numPr>
          <w:ilvl w:val="0"/>
          <w:numId w:val="19"/>
        </w:numPr>
        <w:spacing w:beforeLines="0" w:after="0" w:afterAutospacing="0"/>
        <w:jc w:val="left"/>
        <w:rPr>
          <w:b w:val="0"/>
          <w:sz w:val="20"/>
        </w:rPr>
      </w:pPr>
      <w:bookmarkStart w:id="12" w:name="_Ref492008097"/>
      <w:bookmarkStart w:id="13" w:name="_Ref492007566"/>
      <w:r>
        <w:rPr>
          <w:b w:val="0"/>
          <w:sz w:val="20"/>
        </w:rPr>
        <w:t>R1-1709732</w:t>
      </w:r>
      <w:r w:rsidRPr="002545CA">
        <w:rPr>
          <w:b w:val="0"/>
          <w:sz w:val="20"/>
        </w:rPr>
        <w:t>, Way forward on the support of Supplementary Uplink in NR</w:t>
      </w:r>
      <w:r>
        <w:rPr>
          <w:b w:val="0"/>
          <w:sz w:val="20"/>
        </w:rPr>
        <w:t>. CMCC</w:t>
      </w:r>
      <w:bookmarkEnd w:id="12"/>
    </w:p>
    <w:p w:rsidR="00F05662" w:rsidRPr="00851F56" w:rsidRDefault="00F05662" w:rsidP="00D14D5E">
      <w:pPr>
        <w:pStyle w:val="LGTdoc1"/>
        <w:numPr>
          <w:ilvl w:val="0"/>
          <w:numId w:val="19"/>
        </w:numPr>
        <w:spacing w:beforeLines="0" w:after="0" w:afterAutospacing="0"/>
        <w:jc w:val="left"/>
        <w:rPr>
          <w:b w:val="0"/>
          <w:sz w:val="20"/>
        </w:rPr>
      </w:pPr>
      <w:bookmarkStart w:id="14" w:name="_Ref492008107"/>
      <w:r>
        <w:rPr>
          <w:rFonts w:eastAsia="MS Mincho"/>
          <w:b w:val="0"/>
          <w:sz w:val="20"/>
          <w:lang w:val="en-US" w:eastAsia="ja-JP"/>
        </w:rPr>
        <w:t>RP-171430, Views on NR UL coverage, Qualcomm</w:t>
      </w:r>
      <w:bookmarkEnd w:id="13"/>
      <w:bookmarkEnd w:id="14"/>
    </w:p>
    <w:p w:rsidR="00731CF6" w:rsidRDefault="00731CF6">
      <w:pPr>
        <w:overflowPunct/>
        <w:autoSpaceDE/>
        <w:autoSpaceDN/>
        <w:adjustRightInd/>
        <w:spacing w:after="0"/>
        <w:textAlignment w:val="auto"/>
        <w:rPr>
          <w:rFonts w:eastAsiaTheme="minorEastAsia"/>
          <w:snapToGrid w:val="0"/>
          <w:lang w:eastAsia="zh-CN"/>
        </w:rPr>
      </w:pPr>
      <w:r>
        <w:rPr>
          <w:rFonts w:eastAsiaTheme="minorEastAsia"/>
          <w:b/>
          <w:lang w:eastAsia="zh-CN"/>
        </w:rPr>
        <w:br w:type="page"/>
      </w:r>
    </w:p>
    <w:p w:rsidR="00731CF6" w:rsidRDefault="00731CF6" w:rsidP="00731CF6">
      <w:pPr>
        <w:pStyle w:val="Heading3"/>
        <w:ind w:left="720" w:hanging="720"/>
        <w:rPr>
          <w:rFonts w:eastAsiaTheme="minorEastAsia"/>
          <w:lang w:eastAsia="zh-CN"/>
        </w:rPr>
      </w:pPr>
      <w:r w:rsidRPr="00A6212E">
        <w:lastRenderedPageBreak/>
        <w:t>Annex</w:t>
      </w:r>
    </w:p>
    <w:tbl>
      <w:tblPr>
        <w:tblStyle w:val="TableGrid"/>
        <w:tblW w:w="0" w:type="auto"/>
        <w:jc w:val="center"/>
        <w:tblLook w:val="04A0"/>
      </w:tblPr>
      <w:tblGrid>
        <w:gridCol w:w="415"/>
        <w:gridCol w:w="7660"/>
        <w:gridCol w:w="1239"/>
      </w:tblGrid>
      <w:tr w:rsidR="00731CF6" w:rsidRPr="002A2ACC" w:rsidTr="00625B30">
        <w:trPr>
          <w:jc w:val="center"/>
        </w:trPr>
        <w:tc>
          <w:tcPr>
            <w:tcW w:w="415" w:type="dxa"/>
          </w:tcPr>
          <w:p w:rsidR="00731CF6" w:rsidRPr="00731CF6" w:rsidRDefault="00731CF6" w:rsidP="00731CF6">
            <w:pPr>
              <w:spacing w:after="120"/>
              <w:contextualSpacing/>
              <w:jc w:val="center"/>
              <w:rPr>
                <w:b/>
              </w:rPr>
            </w:pPr>
            <w:r w:rsidRPr="00731CF6">
              <w:rPr>
                <w:b/>
              </w:rPr>
              <w:t>#</w:t>
            </w:r>
          </w:p>
        </w:tc>
        <w:tc>
          <w:tcPr>
            <w:tcW w:w="7660" w:type="dxa"/>
          </w:tcPr>
          <w:p w:rsidR="00731CF6" w:rsidRPr="00731CF6" w:rsidRDefault="00731CF6" w:rsidP="00731CF6">
            <w:pPr>
              <w:spacing w:after="120"/>
              <w:contextualSpacing/>
              <w:jc w:val="center"/>
              <w:rPr>
                <w:b/>
              </w:rPr>
            </w:pPr>
            <w:r w:rsidRPr="00731CF6">
              <w:rPr>
                <w:b/>
              </w:rPr>
              <w:t>Open aspects</w:t>
            </w:r>
          </w:p>
        </w:tc>
        <w:tc>
          <w:tcPr>
            <w:tcW w:w="941" w:type="dxa"/>
          </w:tcPr>
          <w:p w:rsidR="00731CF6" w:rsidRPr="00731CF6" w:rsidRDefault="00731CF6" w:rsidP="00731CF6">
            <w:pPr>
              <w:spacing w:after="120"/>
              <w:contextualSpacing/>
              <w:jc w:val="center"/>
              <w:rPr>
                <w:b/>
              </w:rPr>
            </w:pPr>
            <w:r w:rsidRPr="00731CF6">
              <w:rPr>
                <w:b/>
              </w:rPr>
              <w:t>Responsible WGs:</w:t>
            </w:r>
          </w:p>
          <w:p w:rsidR="00731CF6" w:rsidRPr="00731CF6" w:rsidRDefault="00731CF6" w:rsidP="00731CF6">
            <w:pPr>
              <w:spacing w:after="120"/>
              <w:contextualSpacing/>
              <w:jc w:val="center"/>
              <w:rPr>
                <w:b/>
              </w:rPr>
            </w:pPr>
            <w:r w:rsidRPr="00731CF6">
              <w:rPr>
                <w:b/>
              </w:rPr>
              <w:t>Primary,</w:t>
            </w:r>
          </w:p>
          <w:p w:rsidR="00731CF6" w:rsidRPr="00731CF6" w:rsidRDefault="00731CF6" w:rsidP="00731CF6">
            <w:pPr>
              <w:spacing w:after="120"/>
              <w:contextualSpacing/>
              <w:jc w:val="center"/>
              <w:rPr>
                <w:b/>
              </w:rPr>
            </w:pPr>
            <w:r w:rsidRPr="00731CF6">
              <w:rPr>
                <w:b/>
              </w:rPr>
              <w:t>Secondary</w:t>
            </w:r>
          </w:p>
        </w:tc>
      </w:tr>
      <w:tr w:rsidR="00731CF6" w:rsidTr="00625B30">
        <w:trPr>
          <w:jc w:val="center"/>
        </w:trPr>
        <w:tc>
          <w:tcPr>
            <w:tcW w:w="415" w:type="dxa"/>
          </w:tcPr>
          <w:p w:rsidR="00731CF6" w:rsidRPr="00731CF6" w:rsidRDefault="00731CF6" w:rsidP="00731CF6">
            <w:pPr>
              <w:spacing w:after="120"/>
              <w:contextualSpacing/>
            </w:pPr>
            <w:r w:rsidRPr="00731CF6">
              <w:t>1</w:t>
            </w:r>
          </w:p>
        </w:tc>
        <w:tc>
          <w:tcPr>
            <w:tcW w:w="7660" w:type="dxa"/>
          </w:tcPr>
          <w:p w:rsidR="00731CF6" w:rsidRPr="00731CF6" w:rsidRDefault="00731CF6" w:rsidP="00731CF6">
            <w:pPr>
              <w:spacing w:after="120"/>
              <w:contextualSpacing/>
            </w:pPr>
            <w:r w:rsidRPr="00731CF6">
              <w:t>Does each of the SS-block belong to a separate measurement object or should all the SS-blocks belong to the same measurement object?</w:t>
            </w:r>
          </w:p>
        </w:tc>
        <w:tc>
          <w:tcPr>
            <w:tcW w:w="941" w:type="dxa"/>
          </w:tcPr>
          <w:p w:rsidR="00731CF6" w:rsidRPr="00731CF6" w:rsidRDefault="00731CF6" w:rsidP="00731CF6">
            <w:pPr>
              <w:spacing w:after="120"/>
              <w:contextualSpacing/>
              <w:jc w:val="center"/>
            </w:pPr>
            <w:r w:rsidRPr="00731CF6">
              <w:t>RAN2, RAN4</w:t>
            </w:r>
          </w:p>
        </w:tc>
      </w:tr>
      <w:tr w:rsidR="00731CF6" w:rsidTr="00625B30">
        <w:trPr>
          <w:jc w:val="center"/>
        </w:trPr>
        <w:tc>
          <w:tcPr>
            <w:tcW w:w="415" w:type="dxa"/>
          </w:tcPr>
          <w:p w:rsidR="00731CF6" w:rsidRPr="00731CF6" w:rsidRDefault="00731CF6" w:rsidP="00731CF6">
            <w:pPr>
              <w:spacing w:after="120"/>
              <w:contextualSpacing/>
            </w:pPr>
            <w:r w:rsidRPr="00731CF6">
              <w:t>2</w:t>
            </w:r>
          </w:p>
        </w:tc>
        <w:tc>
          <w:tcPr>
            <w:tcW w:w="7660" w:type="dxa"/>
          </w:tcPr>
          <w:p w:rsidR="00731CF6" w:rsidRPr="00731CF6" w:rsidRDefault="00731CF6" w:rsidP="00731CF6">
            <w:pPr>
              <w:spacing w:after="120"/>
              <w:contextualSpacing/>
            </w:pPr>
            <w:r w:rsidRPr="00731CF6">
              <w:t xml:space="preserve">How does this impact the UE capability for measurements (i.e. how many measurement objects could be configured for a given UE considering the answer to the issue 1 above – i.e. there is a dependency between 1 and 2 that makes the discussions even longer) </w:t>
            </w:r>
          </w:p>
        </w:tc>
        <w:tc>
          <w:tcPr>
            <w:tcW w:w="941" w:type="dxa"/>
          </w:tcPr>
          <w:p w:rsidR="00731CF6" w:rsidRPr="00731CF6" w:rsidRDefault="00731CF6" w:rsidP="00731CF6">
            <w:pPr>
              <w:spacing w:after="120"/>
              <w:contextualSpacing/>
              <w:jc w:val="center"/>
            </w:pPr>
            <w:r w:rsidRPr="00731CF6">
              <w:t>RAN4, RAN2</w:t>
            </w:r>
          </w:p>
        </w:tc>
      </w:tr>
      <w:tr w:rsidR="00731CF6" w:rsidTr="00625B30">
        <w:trPr>
          <w:jc w:val="center"/>
        </w:trPr>
        <w:tc>
          <w:tcPr>
            <w:tcW w:w="415" w:type="dxa"/>
          </w:tcPr>
          <w:p w:rsidR="00731CF6" w:rsidRPr="00731CF6" w:rsidRDefault="00731CF6" w:rsidP="00731CF6">
            <w:pPr>
              <w:spacing w:after="120"/>
              <w:contextualSpacing/>
            </w:pPr>
            <w:r w:rsidRPr="00731CF6">
              <w:t>3</w:t>
            </w:r>
          </w:p>
        </w:tc>
        <w:tc>
          <w:tcPr>
            <w:tcW w:w="7660" w:type="dxa"/>
          </w:tcPr>
          <w:p w:rsidR="00731CF6" w:rsidRPr="00731CF6" w:rsidRDefault="00731CF6" w:rsidP="00731CF6">
            <w:pPr>
              <w:spacing w:after="120"/>
              <w:contextualSpacing/>
            </w:pPr>
            <w:r w:rsidRPr="00731CF6">
              <w:t>If multiple SS-blocks are included in the same MO, how does the UE evaluate the cell quality?</w:t>
            </w:r>
          </w:p>
          <w:p w:rsidR="00731CF6" w:rsidRPr="00731CF6" w:rsidRDefault="00731CF6" w:rsidP="00731CF6">
            <w:pPr>
              <w:pStyle w:val="ListParagraph"/>
              <w:numPr>
                <w:ilvl w:val="0"/>
                <w:numId w:val="45"/>
              </w:numPr>
              <w:spacing w:after="120"/>
              <w:rPr>
                <w:sz w:val="20"/>
                <w:szCs w:val="20"/>
              </w:rPr>
            </w:pPr>
            <w:r w:rsidRPr="00731CF6">
              <w:rPr>
                <w:sz w:val="20"/>
                <w:szCs w:val="20"/>
              </w:rPr>
              <w:t>Average over all SS-blocks</w:t>
            </w:r>
          </w:p>
          <w:p w:rsidR="00731CF6" w:rsidRPr="00731CF6" w:rsidRDefault="00731CF6" w:rsidP="00731CF6">
            <w:pPr>
              <w:pStyle w:val="ListParagraph"/>
              <w:numPr>
                <w:ilvl w:val="0"/>
                <w:numId w:val="45"/>
              </w:numPr>
              <w:spacing w:after="120"/>
              <w:rPr>
                <w:sz w:val="20"/>
                <w:szCs w:val="20"/>
              </w:rPr>
            </w:pPr>
            <w:r w:rsidRPr="00731CF6">
              <w:rPr>
                <w:sz w:val="20"/>
                <w:szCs w:val="20"/>
              </w:rPr>
              <w:t>Average over SS-blocks above a (configured) threshold?</w:t>
            </w:r>
          </w:p>
          <w:p w:rsidR="00731CF6" w:rsidRPr="00731CF6" w:rsidRDefault="00731CF6" w:rsidP="00731CF6">
            <w:pPr>
              <w:pStyle w:val="ListParagraph"/>
              <w:numPr>
                <w:ilvl w:val="0"/>
                <w:numId w:val="45"/>
              </w:numPr>
              <w:spacing w:after="120"/>
              <w:rPr>
                <w:sz w:val="20"/>
                <w:szCs w:val="20"/>
              </w:rPr>
            </w:pPr>
            <w:r w:rsidRPr="00731CF6">
              <w:rPr>
                <w:sz w:val="20"/>
                <w:szCs w:val="20"/>
              </w:rPr>
              <w:t>Linear vs weighted average?</w:t>
            </w:r>
          </w:p>
          <w:p w:rsidR="00731CF6" w:rsidRPr="00731CF6" w:rsidRDefault="00731CF6" w:rsidP="00731CF6">
            <w:pPr>
              <w:pStyle w:val="ListParagraph"/>
              <w:numPr>
                <w:ilvl w:val="0"/>
                <w:numId w:val="45"/>
              </w:numPr>
              <w:spacing w:after="120"/>
              <w:rPr>
                <w:sz w:val="20"/>
                <w:szCs w:val="20"/>
              </w:rPr>
            </w:pPr>
            <w:r w:rsidRPr="00731CF6">
              <w:rPr>
                <w:sz w:val="20"/>
                <w:szCs w:val="20"/>
              </w:rPr>
              <w:t>i.e. very similar discussion to what RAN2 had for cell quality derivation</w:t>
            </w:r>
          </w:p>
        </w:tc>
        <w:tc>
          <w:tcPr>
            <w:tcW w:w="941" w:type="dxa"/>
          </w:tcPr>
          <w:p w:rsidR="00731CF6" w:rsidRPr="00731CF6" w:rsidRDefault="00731CF6" w:rsidP="00731CF6">
            <w:pPr>
              <w:spacing w:after="120"/>
              <w:contextualSpacing/>
              <w:jc w:val="center"/>
            </w:pPr>
            <w:r w:rsidRPr="00731CF6">
              <w:t>RAN2, RAN4</w:t>
            </w:r>
          </w:p>
        </w:tc>
      </w:tr>
      <w:tr w:rsidR="00731CF6" w:rsidTr="00625B30">
        <w:trPr>
          <w:jc w:val="center"/>
        </w:trPr>
        <w:tc>
          <w:tcPr>
            <w:tcW w:w="415" w:type="dxa"/>
          </w:tcPr>
          <w:p w:rsidR="00731CF6" w:rsidRPr="00731CF6" w:rsidRDefault="00731CF6" w:rsidP="00731CF6">
            <w:pPr>
              <w:spacing w:after="120"/>
              <w:contextualSpacing/>
            </w:pPr>
            <w:r w:rsidRPr="00731CF6">
              <w:t>4</w:t>
            </w:r>
          </w:p>
        </w:tc>
        <w:tc>
          <w:tcPr>
            <w:tcW w:w="7660" w:type="dxa"/>
          </w:tcPr>
          <w:p w:rsidR="00731CF6" w:rsidRPr="00731CF6" w:rsidRDefault="00731CF6" w:rsidP="00731CF6">
            <w:pPr>
              <w:spacing w:after="120"/>
              <w:contextualSpacing/>
            </w:pPr>
            <w:r w:rsidRPr="00731CF6">
              <w:t>Does the UE report individual quality for each BWP or will it report a combined quality?</w:t>
            </w:r>
          </w:p>
        </w:tc>
        <w:tc>
          <w:tcPr>
            <w:tcW w:w="941" w:type="dxa"/>
          </w:tcPr>
          <w:p w:rsidR="00731CF6" w:rsidRPr="00731CF6" w:rsidRDefault="00731CF6" w:rsidP="00731CF6">
            <w:pPr>
              <w:spacing w:after="120"/>
              <w:contextualSpacing/>
              <w:jc w:val="center"/>
            </w:pPr>
            <w:r w:rsidRPr="00731CF6">
              <w:t>RAN2</w:t>
            </w:r>
          </w:p>
        </w:tc>
      </w:tr>
      <w:tr w:rsidR="00731CF6" w:rsidTr="00625B30">
        <w:trPr>
          <w:jc w:val="center"/>
        </w:trPr>
        <w:tc>
          <w:tcPr>
            <w:tcW w:w="415" w:type="dxa"/>
          </w:tcPr>
          <w:p w:rsidR="00731CF6" w:rsidRPr="00731CF6" w:rsidRDefault="00731CF6" w:rsidP="00731CF6">
            <w:pPr>
              <w:spacing w:after="120"/>
              <w:contextualSpacing/>
            </w:pPr>
            <w:r w:rsidRPr="00731CF6">
              <w:t>5</w:t>
            </w:r>
          </w:p>
        </w:tc>
        <w:tc>
          <w:tcPr>
            <w:tcW w:w="7660" w:type="dxa"/>
          </w:tcPr>
          <w:p w:rsidR="00731CF6" w:rsidRPr="00731CF6" w:rsidRDefault="00731CF6" w:rsidP="00731CF6">
            <w:pPr>
              <w:spacing w:after="120"/>
              <w:contextualSpacing/>
            </w:pPr>
            <w:r w:rsidRPr="00731CF6">
              <w:t>What are the implications on the measurement gaps?</w:t>
            </w:r>
          </w:p>
          <w:p w:rsidR="00731CF6" w:rsidRPr="00731CF6" w:rsidRDefault="00731CF6" w:rsidP="00731CF6">
            <w:pPr>
              <w:pStyle w:val="ListParagraph"/>
              <w:numPr>
                <w:ilvl w:val="0"/>
                <w:numId w:val="45"/>
              </w:numPr>
              <w:spacing w:after="120"/>
              <w:rPr>
                <w:sz w:val="20"/>
                <w:szCs w:val="20"/>
              </w:rPr>
            </w:pPr>
            <w:r w:rsidRPr="00731CF6">
              <w:rPr>
                <w:sz w:val="20"/>
                <w:szCs w:val="20"/>
              </w:rPr>
              <w:t>Does the UE require new measurement gap length considering various scenarios shown above in Figure 1?</w:t>
            </w:r>
          </w:p>
          <w:p w:rsidR="00731CF6" w:rsidRPr="00731CF6" w:rsidRDefault="00731CF6" w:rsidP="00731CF6">
            <w:pPr>
              <w:pStyle w:val="ListParagraph"/>
              <w:numPr>
                <w:ilvl w:val="0"/>
                <w:numId w:val="45"/>
              </w:numPr>
              <w:spacing w:after="120"/>
              <w:rPr>
                <w:sz w:val="20"/>
                <w:szCs w:val="20"/>
              </w:rPr>
            </w:pPr>
            <w:r w:rsidRPr="00731CF6">
              <w:rPr>
                <w:sz w:val="20"/>
                <w:szCs w:val="20"/>
              </w:rPr>
              <w:t>Does the UE require new measurement gap pattern?</w:t>
            </w:r>
          </w:p>
        </w:tc>
        <w:tc>
          <w:tcPr>
            <w:tcW w:w="941" w:type="dxa"/>
          </w:tcPr>
          <w:p w:rsidR="00731CF6" w:rsidRPr="00731CF6" w:rsidRDefault="00731CF6" w:rsidP="00731CF6">
            <w:pPr>
              <w:spacing w:after="120"/>
              <w:contextualSpacing/>
              <w:jc w:val="center"/>
            </w:pPr>
            <w:r w:rsidRPr="00731CF6">
              <w:t>RAN4,</w:t>
            </w:r>
          </w:p>
          <w:p w:rsidR="00731CF6" w:rsidRPr="00731CF6" w:rsidRDefault="00731CF6" w:rsidP="00731CF6">
            <w:pPr>
              <w:spacing w:after="120"/>
              <w:contextualSpacing/>
              <w:jc w:val="center"/>
            </w:pPr>
            <w:r w:rsidRPr="00731CF6">
              <w:t>RAN2</w:t>
            </w:r>
          </w:p>
        </w:tc>
      </w:tr>
      <w:tr w:rsidR="00731CF6" w:rsidTr="00625B30">
        <w:trPr>
          <w:jc w:val="center"/>
        </w:trPr>
        <w:tc>
          <w:tcPr>
            <w:tcW w:w="415" w:type="dxa"/>
          </w:tcPr>
          <w:p w:rsidR="00731CF6" w:rsidRPr="00731CF6" w:rsidRDefault="00731CF6" w:rsidP="00731CF6">
            <w:pPr>
              <w:spacing w:after="120"/>
              <w:contextualSpacing/>
            </w:pPr>
            <w:r w:rsidRPr="00731CF6">
              <w:t>6</w:t>
            </w:r>
          </w:p>
        </w:tc>
        <w:tc>
          <w:tcPr>
            <w:tcW w:w="7660" w:type="dxa"/>
          </w:tcPr>
          <w:p w:rsidR="00731CF6" w:rsidRPr="00731CF6" w:rsidRDefault="00731CF6" w:rsidP="00731CF6">
            <w:pPr>
              <w:spacing w:after="120"/>
              <w:contextualSpacing/>
            </w:pPr>
            <w:r w:rsidRPr="00731CF6">
              <w:t>How does the UE trigger the measurement reports?</w:t>
            </w:r>
          </w:p>
          <w:p w:rsidR="00731CF6" w:rsidRPr="00731CF6" w:rsidRDefault="00731CF6" w:rsidP="00731CF6">
            <w:pPr>
              <w:pStyle w:val="ListParagraph"/>
              <w:numPr>
                <w:ilvl w:val="0"/>
                <w:numId w:val="45"/>
              </w:numPr>
              <w:spacing w:after="120"/>
              <w:rPr>
                <w:sz w:val="20"/>
                <w:szCs w:val="20"/>
              </w:rPr>
            </w:pPr>
            <w:r w:rsidRPr="00731CF6">
              <w:rPr>
                <w:sz w:val="20"/>
                <w:szCs w:val="20"/>
              </w:rPr>
              <w:t>Triggering per BWP or triggering per the averaged quality?</w:t>
            </w:r>
          </w:p>
        </w:tc>
        <w:tc>
          <w:tcPr>
            <w:tcW w:w="941" w:type="dxa"/>
          </w:tcPr>
          <w:p w:rsidR="00731CF6" w:rsidRPr="00731CF6" w:rsidRDefault="00731CF6" w:rsidP="00731CF6">
            <w:pPr>
              <w:spacing w:after="120"/>
              <w:contextualSpacing/>
              <w:jc w:val="center"/>
            </w:pPr>
            <w:r w:rsidRPr="00731CF6">
              <w:t>RAN2</w:t>
            </w:r>
          </w:p>
        </w:tc>
      </w:tr>
      <w:tr w:rsidR="00731CF6" w:rsidTr="00625B30">
        <w:trPr>
          <w:jc w:val="center"/>
        </w:trPr>
        <w:tc>
          <w:tcPr>
            <w:tcW w:w="415" w:type="dxa"/>
          </w:tcPr>
          <w:p w:rsidR="00731CF6" w:rsidRPr="00731CF6" w:rsidRDefault="00731CF6" w:rsidP="00731CF6">
            <w:pPr>
              <w:spacing w:after="120"/>
              <w:contextualSpacing/>
            </w:pPr>
            <w:r w:rsidRPr="00731CF6">
              <w:t>7</w:t>
            </w:r>
          </w:p>
        </w:tc>
        <w:tc>
          <w:tcPr>
            <w:tcW w:w="7660" w:type="dxa"/>
          </w:tcPr>
          <w:p w:rsidR="00731CF6" w:rsidRPr="00731CF6" w:rsidRDefault="00731CF6" w:rsidP="00731CF6">
            <w:pPr>
              <w:spacing w:after="120"/>
              <w:contextualSpacing/>
            </w:pPr>
            <w:r w:rsidRPr="00731CF6">
              <w:t>Does the UE include measurement reports from all BWPs when reporting quality on a given BWP? Or does it include some BWPs (e.g. above a threshold)? How is this configured/controlled by the network?</w:t>
            </w:r>
          </w:p>
        </w:tc>
        <w:tc>
          <w:tcPr>
            <w:tcW w:w="941" w:type="dxa"/>
          </w:tcPr>
          <w:p w:rsidR="00731CF6" w:rsidRPr="00731CF6" w:rsidRDefault="00731CF6" w:rsidP="00731CF6">
            <w:pPr>
              <w:spacing w:after="120"/>
              <w:contextualSpacing/>
              <w:jc w:val="center"/>
            </w:pPr>
            <w:r w:rsidRPr="00731CF6">
              <w:t>RAN2</w:t>
            </w:r>
          </w:p>
        </w:tc>
      </w:tr>
      <w:tr w:rsidR="00731CF6" w:rsidTr="00625B30">
        <w:trPr>
          <w:jc w:val="center"/>
        </w:trPr>
        <w:tc>
          <w:tcPr>
            <w:tcW w:w="415" w:type="dxa"/>
          </w:tcPr>
          <w:p w:rsidR="00731CF6" w:rsidRPr="00731CF6" w:rsidRDefault="00731CF6" w:rsidP="00731CF6">
            <w:pPr>
              <w:spacing w:after="120"/>
              <w:contextualSpacing/>
            </w:pPr>
            <w:r w:rsidRPr="00731CF6">
              <w:t>8</w:t>
            </w:r>
          </w:p>
        </w:tc>
        <w:tc>
          <w:tcPr>
            <w:tcW w:w="7660" w:type="dxa"/>
          </w:tcPr>
          <w:p w:rsidR="00731CF6" w:rsidRPr="00731CF6" w:rsidRDefault="00731CF6" w:rsidP="00731CF6">
            <w:pPr>
              <w:spacing w:after="120"/>
              <w:contextualSpacing/>
            </w:pPr>
            <w:r w:rsidRPr="00731CF6">
              <w:t>Will there be separate RACH resources per BWP? If yes, where (which BWP) does a wide bandwidth UE perform the initial access?</w:t>
            </w:r>
          </w:p>
          <w:p w:rsidR="00731CF6" w:rsidRPr="00731CF6" w:rsidRDefault="00731CF6" w:rsidP="00731CF6">
            <w:pPr>
              <w:pStyle w:val="ListParagraph"/>
              <w:numPr>
                <w:ilvl w:val="0"/>
                <w:numId w:val="45"/>
              </w:numPr>
              <w:spacing w:after="120"/>
              <w:rPr>
                <w:sz w:val="20"/>
                <w:szCs w:val="20"/>
              </w:rPr>
            </w:pPr>
            <w:r w:rsidRPr="00731CF6">
              <w:rPr>
                <w:sz w:val="20"/>
                <w:szCs w:val="20"/>
              </w:rPr>
              <w:t>On the BWP corresponding to the best SS-block quality?</w:t>
            </w:r>
          </w:p>
          <w:p w:rsidR="00731CF6" w:rsidRPr="00731CF6" w:rsidRDefault="00731CF6" w:rsidP="00731CF6">
            <w:pPr>
              <w:pStyle w:val="ListParagraph"/>
              <w:numPr>
                <w:ilvl w:val="0"/>
                <w:numId w:val="45"/>
              </w:numPr>
              <w:spacing w:after="120"/>
              <w:rPr>
                <w:sz w:val="20"/>
                <w:szCs w:val="20"/>
              </w:rPr>
            </w:pPr>
            <w:r w:rsidRPr="00731CF6">
              <w:rPr>
                <w:sz w:val="20"/>
                <w:szCs w:val="20"/>
              </w:rPr>
              <w:t>Network controlled?</w:t>
            </w:r>
          </w:p>
        </w:tc>
        <w:tc>
          <w:tcPr>
            <w:tcW w:w="941" w:type="dxa"/>
          </w:tcPr>
          <w:p w:rsidR="00731CF6" w:rsidRPr="00731CF6" w:rsidRDefault="00731CF6" w:rsidP="00731CF6">
            <w:pPr>
              <w:spacing w:after="120"/>
              <w:contextualSpacing/>
              <w:jc w:val="center"/>
            </w:pPr>
            <w:r w:rsidRPr="00731CF6">
              <w:t>RAN2</w:t>
            </w:r>
          </w:p>
          <w:p w:rsidR="00731CF6" w:rsidRPr="00731CF6" w:rsidRDefault="00731CF6" w:rsidP="00731CF6">
            <w:pPr>
              <w:spacing w:after="120"/>
              <w:contextualSpacing/>
              <w:jc w:val="center"/>
            </w:pPr>
            <w:r w:rsidRPr="00731CF6">
              <w:t>RAN1</w:t>
            </w:r>
          </w:p>
        </w:tc>
      </w:tr>
      <w:tr w:rsidR="00731CF6" w:rsidTr="00625B30">
        <w:trPr>
          <w:jc w:val="center"/>
        </w:trPr>
        <w:tc>
          <w:tcPr>
            <w:tcW w:w="415" w:type="dxa"/>
          </w:tcPr>
          <w:p w:rsidR="00731CF6" w:rsidRPr="00731CF6" w:rsidRDefault="00731CF6" w:rsidP="00731CF6">
            <w:pPr>
              <w:spacing w:after="120"/>
              <w:contextualSpacing/>
            </w:pPr>
            <w:r w:rsidRPr="00731CF6">
              <w:t>9</w:t>
            </w:r>
          </w:p>
        </w:tc>
        <w:tc>
          <w:tcPr>
            <w:tcW w:w="7660" w:type="dxa"/>
          </w:tcPr>
          <w:p w:rsidR="00731CF6" w:rsidRPr="00731CF6" w:rsidRDefault="00731CF6" w:rsidP="00731CF6">
            <w:pPr>
              <w:spacing w:after="120"/>
              <w:contextualSpacing/>
            </w:pPr>
            <w:r w:rsidRPr="00731CF6">
              <w:t xml:space="preserve">Will every BWP provide separate essential system information? i.e. which BWP will IDLE mode UEs monitor for camping on the cell? How is this indicated to the UE (does this impact the design of MIB/other PBCCH contents)? </w:t>
            </w:r>
          </w:p>
        </w:tc>
        <w:tc>
          <w:tcPr>
            <w:tcW w:w="941" w:type="dxa"/>
          </w:tcPr>
          <w:p w:rsidR="00731CF6" w:rsidRPr="00731CF6" w:rsidRDefault="00731CF6" w:rsidP="00731CF6">
            <w:pPr>
              <w:spacing w:after="120"/>
              <w:contextualSpacing/>
              <w:jc w:val="center"/>
            </w:pPr>
            <w:r w:rsidRPr="00731CF6">
              <w:t>RAN1</w:t>
            </w:r>
          </w:p>
          <w:p w:rsidR="00731CF6" w:rsidRPr="00731CF6" w:rsidRDefault="00731CF6" w:rsidP="00731CF6">
            <w:pPr>
              <w:spacing w:after="120"/>
              <w:contextualSpacing/>
              <w:jc w:val="center"/>
            </w:pPr>
            <w:r w:rsidRPr="00731CF6">
              <w:t>RAN2</w:t>
            </w:r>
          </w:p>
        </w:tc>
      </w:tr>
    </w:tbl>
    <w:p w:rsidR="00851F56" w:rsidRDefault="00851F56" w:rsidP="00851F56">
      <w:pPr>
        <w:pStyle w:val="LGTdoc1"/>
        <w:spacing w:beforeLines="0" w:after="0" w:afterAutospacing="0"/>
        <w:jc w:val="left"/>
        <w:rPr>
          <w:rFonts w:eastAsiaTheme="minorEastAsia"/>
          <w:b w:val="0"/>
          <w:sz w:val="20"/>
          <w:lang w:eastAsia="zh-CN"/>
        </w:rPr>
      </w:pPr>
    </w:p>
    <w:p w:rsidR="00851F56" w:rsidRPr="005C689A" w:rsidRDefault="00851F56" w:rsidP="00851F56">
      <w:pPr>
        <w:pStyle w:val="LGTdoc1"/>
        <w:spacing w:beforeLines="0" w:after="0" w:afterAutospacing="0"/>
        <w:jc w:val="left"/>
        <w:rPr>
          <w:b w:val="0"/>
          <w:sz w:val="20"/>
        </w:rPr>
      </w:pPr>
    </w:p>
    <w:sectPr w:rsidR="00851F56" w:rsidRPr="005C689A" w:rsidSect="00F35990">
      <w:footerReference w:type="default" r:id="rId10"/>
      <w:pgSz w:w="11906" w:h="16838" w:code="9"/>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33D" w:rsidRDefault="00C2533D">
      <w:r>
        <w:separator/>
      </w:r>
    </w:p>
  </w:endnote>
  <w:endnote w:type="continuationSeparator" w:id="0">
    <w:p w:rsidR="00C2533D" w:rsidRDefault="00C253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Helv">
    <w:altName w:val="Arial"/>
    <w:panose1 w:val="020B060402020203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97899"/>
      <w:docPartObj>
        <w:docPartGallery w:val="Page Numbers (Bottom of Page)"/>
        <w:docPartUnique/>
      </w:docPartObj>
    </w:sdtPr>
    <w:sdtContent>
      <w:p w:rsidR="00731CF6" w:rsidRDefault="00F355AD">
        <w:pPr>
          <w:pStyle w:val="Footer"/>
        </w:pPr>
        <w:fldSimple w:instr=" PAGE   \* MERGEFORMAT ">
          <w:r w:rsidR="00532949">
            <w:t>1</w:t>
          </w:r>
        </w:fldSimple>
      </w:p>
    </w:sdtContent>
  </w:sdt>
  <w:p w:rsidR="002A5E4C" w:rsidRDefault="002A5E4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33D" w:rsidRDefault="00C2533D">
      <w:r>
        <w:separator/>
      </w:r>
    </w:p>
  </w:footnote>
  <w:footnote w:type="continuationSeparator" w:id="0">
    <w:p w:rsidR="00C2533D" w:rsidRDefault="00C253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B561A"/>
    <w:multiLevelType w:val="hybridMultilevel"/>
    <w:tmpl w:val="286C3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356BB"/>
    <w:multiLevelType w:val="hybridMultilevel"/>
    <w:tmpl w:val="F5403B0A"/>
    <w:lvl w:ilvl="0" w:tplc="5C98C1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423A9"/>
    <w:multiLevelType w:val="hybridMultilevel"/>
    <w:tmpl w:val="76367B18"/>
    <w:lvl w:ilvl="0" w:tplc="04090003">
      <w:start w:val="1"/>
      <w:numFmt w:val="bullet"/>
      <w:lvlText w:val="o"/>
      <w:lvlJc w:val="left"/>
      <w:pPr>
        <w:ind w:left="758" w:hanging="360"/>
      </w:pPr>
      <w:rPr>
        <w:rFonts w:ascii="Courier New" w:hAnsi="Courier New" w:cs="Courier New"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0A545E69"/>
    <w:multiLevelType w:val="hybridMultilevel"/>
    <w:tmpl w:val="865017E2"/>
    <w:lvl w:ilvl="0" w:tplc="0616D78E">
      <w:start w:val="127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nsid w:val="104301C5"/>
    <w:multiLevelType w:val="hybridMultilevel"/>
    <w:tmpl w:val="288E1248"/>
    <w:lvl w:ilvl="0" w:tplc="C0644CFE">
      <w:start w:val="1"/>
      <w:numFmt w:val="bullet"/>
      <w:lvlText w:val="•"/>
      <w:lvlJc w:val="left"/>
      <w:pPr>
        <w:tabs>
          <w:tab w:val="num" w:pos="720"/>
        </w:tabs>
        <w:ind w:left="720" w:hanging="360"/>
      </w:pPr>
      <w:rPr>
        <w:rFonts w:ascii="Arial" w:hAnsi="Arial" w:hint="default"/>
      </w:rPr>
    </w:lvl>
    <w:lvl w:ilvl="1" w:tplc="0160FA04">
      <w:start w:val="1"/>
      <w:numFmt w:val="bullet"/>
      <w:lvlText w:val="•"/>
      <w:lvlJc w:val="left"/>
      <w:pPr>
        <w:tabs>
          <w:tab w:val="num" w:pos="450"/>
        </w:tabs>
        <w:ind w:left="450" w:hanging="360"/>
      </w:pPr>
      <w:rPr>
        <w:rFonts w:ascii="Arial" w:hAnsi="Arial" w:hint="default"/>
      </w:rPr>
    </w:lvl>
    <w:lvl w:ilvl="2" w:tplc="2988BCE6">
      <w:start w:val="821"/>
      <w:numFmt w:val="bullet"/>
      <w:lvlText w:val="•"/>
      <w:lvlJc w:val="left"/>
      <w:pPr>
        <w:tabs>
          <w:tab w:val="num" w:pos="2160"/>
        </w:tabs>
        <w:ind w:left="2160" w:hanging="360"/>
      </w:pPr>
      <w:rPr>
        <w:rFonts w:ascii="Arial" w:hAnsi="Arial" w:hint="default"/>
      </w:rPr>
    </w:lvl>
    <w:lvl w:ilvl="3" w:tplc="473A0F56" w:tentative="1">
      <w:start w:val="1"/>
      <w:numFmt w:val="bullet"/>
      <w:lvlText w:val="•"/>
      <w:lvlJc w:val="left"/>
      <w:pPr>
        <w:tabs>
          <w:tab w:val="num" w:pos="2880"/>
        </w:tabs>
        <w:ind w:left="2880" w:hanging="360"/>
      </w:pPr>
      <w:rPr>
        <w:rFonts w:ascii="Arial" w:hAnsi="Arial" w:hint="default"/>
      </w:rPr>
    </w:lvl>
    <w:lvl w:ilvl="4" w:tplc="C4B044E0" w:tentative="1">
      <w:start w:val="1"/>
      <w:numFmt w:val="bullet"/>
      <w:lvlText w:val="•"/>
      <w:lvlJc w:val="left"/>
      <w:pPr>
        <w:tabs>
          <w:tab w:val="num" w:pos="3600"/>
        </w:tabs>
        <w:ind w:left="3600" w:hanging="360"/>
      </w:pPr>
      <w:rPr>
        <w:rFonts w:ascii="Arial" w:hAnsi="Arial" w:hint="default"/>
      </w:rPr>
    </w:lvl>
    <w:lvl w:ilvl="5" w:tplc="960CB572" w:tentative="1">
      <w:start w:val="1"/>
      <w:numFmt w:val="bullet"/>
      <w:lvlText w:val="•"/>
      <w:lvlJc w:val="left"/>
      <w:pPr>
        <w:tabs>
          <w:tab w:val="num" w:pos="4320"/>
        </w:tabs>
        <w:ind w:left="4320" w:hanging="360"/>
      </w:pPr>
      <w:rPr>
        <w:rFonts w:ascii="Arial" w:hAnsi="Arial" w:hint="default"/>
      </w:rPr>
    </w:lvl>
    <w:lvl w:ilvl="6" w:tplc="7AAA3664" w:tentative="1">
      <w:start w:val="1"/>
      <w:numFmt w:val="bullet"/>
      <w:lvlText w:val="•"/>
      <w:lvlJc w:val="left"/>
      <w:pPr>
        <w:tabs>
          <w:tab w:val="num" w:pos="5040"/>
        </w:tabs>
        <w:ind w:left="5040" w:hanging="360"/>
      </w:pPr>
      <w:rPr>
        <w:rFonts w:ascii="Arial" w:hAnsi="Arial" w:hint="default"/>
      </w:rPr>
    </w:lvl>
    <w:lvl w:ilvl="7" w:tplc="F6A480B8" w:tentative="1">
      <w:start w:val="1"/>
      <w:numFmt w:val="bullet"/>
      <w:lvlText w:val="•"/>
      <w:lvlJc w:val="left"/>
      <w:pPr>
        <w:tabs>
          <w:tab w:val="num" w:pos="5760"/>
        </w:tabs>
        <w:ind w:left="5760" w:hanging="360"/>
      </w:pPr>
      <w:rPr>
        <w:rFonts w:ascii="Arial" w:hAnsi="Arial" w:hint="default"/>
      </w:rPr>
    </w:lvl>
    <w:lvl w:ilvl="8" w:tplc="B3B6C008" w:tentative="1">
      <w:start w:val="1"/>
      <w:numFmt w:val="bullet"/>
      <w:lvlText w:val="•"/>
      <w:lvlJc w:val="left"/>
      <w:pPr>
        <w:tabs>
          <w:tab w:val="num" w:pos="6480"/>
        </w:tabs>
        <w:ind w:left="6480" w:hanging="360"/>
      </w:pPr>
      <w:rPr>
        <w:rFonts w:ascii="Arial" w:hAnsi="Arial" w:hint="default"/>
      </w:rPr>
    </w:lvl>
  </w:abstractNum>
  <w:abstractNum w:abstractNumId="7">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nsid w:val="17530B22"/>
    <w:multiLevelType w:val="hybridMultilevel"/>
    <w:tmpl w:val="B582B480"/>
    <w:lvl w:ilvl="0" w:tplc="0616D78E">
      <w:start w:val="1279"/>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7CD4156"/>
    <w:multiLevelType w:val="hybridMultilevel"/>
    <w:tmpl w:val="71AE936A"/>
    <w:lvl w:ilvl="0" w:tplc="C20E08E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1954717D"/>
    <w:multiLevelType w:val="hybridMultilevel"/>
    <w:tmpl w:val="6582AAE8"/>
    <w:lvl w:ilvl="0" w:tplc="DE04ECC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0401AD"/>
    <w:multiLevelType w:val="hybridMultilevel"/>
    <w:tmpl w:val="05003756"/>
    <w:lvl w:ilvl="0" w:tplc="65AE39D2">
      <w:start w:val="1"/>
      <w:numFmt w:val="bullet"/>
      <w:lvlText w:val="•"/>
      <w:lvlJc w:val="left"/>
      <w:pPr>
        <w:tabs>
          <w:tab w:val="num" w:pos="720"/>
        </w:tabs>
        <w:ind w:left="720" w:hanging="360"/>
      </w:pPr>
      <w:rPr>
        <w:rFonts w:ascii="Arial" w:hAnsi="Arial" w:hint="default"/>
      </w:rPr>
    </w:lvl>
    <w:lvl w:ilvl="1" w:tplc="BCEE6E5C" w:tentative="1">
      <w:start w:val="1"/>
      <w:numFmt w:val="bullet"/>
      <w:lvlText w:val="•"/>
      <w:lvlJc w:val="left"/>
      <w:pPr>
        <w:tabs>
          <w:tab w:val="num" w:pos="1440"/>
        </w:tabs>
        <w:ind w:left="1440" w:hanging="360"/>
      </w:pPr>
      <w:rPr>
        <w:rFonts w:ascii="Arial" w:hAnsi="Arial" w:hint="default"/>
      </w:rPr>
    </w:lvl>
    <w:lvl w:ilvl="2" w:tplc="1BE8194E">
      <w:start w:val="1"/>
      <w:numFmt w:val="bullet"/>
      <w:lvlText w:val="•"/>
      <w:lvlJc w:val="left"/>
      <w:pPr>
        <w:tabs>
          <w:tab w:val="num" w:pos="2160"/>
        </w:tabs>
        <w:ind w:left="2160" w:hanging="360"/>
      </w:pPr>
      <w:rPr>
        <w:rFonts w:ascii="Arial" w:hAnsi="Arial" w:hint="default"/>
      </w:rPr>
    </w:lvl>
    <w:lvl w:ilvl="3" w:tplc="34F87E9E" w:tentative="1">
      <w:start w:val="1"/>
      <w:numFmt w:val="bullet"/>
      <w:lvlText w:val="•"/>
      <w:lvlJc w:val="left"/>
      <w:pPr>
        <w:tabs>
          <w:tab w:val="num" w:pos="2880"/>
        </w:tabs>
        <w:ind w:left="2880" w:hanging="360"/>
      </w:pPr>
      <w:rPr>
        <w:rFonts w:ascii="Arial" w:hAnsi="Arial" w:hint="default"/>
      </w:rPr>
    </w:lvl>
    <w:lvl w:ilvl="4" w:tplc="D526D024" w:tentative="1">
      <w:start w:val="1"/>
      <w:numFmt w:val="bullet"/>
      <w:lvlText w:val="•"/>
      <w:lvlJc w:val="left"/>
      <w:pPr>
        <w:tabs>
          <w:tab w:val="num" w:pos="3600"/>
        </w:tabs>
        <w:ind w:left="3600" w:hanging="360"/>
      </w:pPr>
      <w:rPr>
        <w:rFonts w:ascii="Arial" w:hAnsi="Arial" w:hint="default"/>
      </w:rPr>
    </w:lvl>
    <w:lvl w:ilvl="5" w:tplc="AC6C5C32" w:tentative="1">
      <w:start w:val="1"/>
      <w:numFmt w:val="bullet"/>
      <w:lvlText w:val="•"/>
      <w:lvlJc w:val="left"/>
      <w:pPr>
        <w:tabs>
          <w:tab w:val="num" w:pos="4320"/>
        </w:tabs>
        <w:ind w:left="4320" w:hanging="360"/>
      </w:pPr>
      <w:rPr>
        <w:rFonts w:ascii="Arial" w:hAnsi="Arial" w:hint="default"/>
      </w:rPr>
    </w:lvl>
    <w:lvl w:ilvl="6" w:tplc="569E6F32" w:tentative="1">
      <w:start w:val="1"/>
      <w:numFmt w:val="bullet"/>
      <w:lvlText w:val="•"/>
      <w:lvlJc w:val="left"/>
      <w:pPr>
        <w:tabs>
          <w:tab w:val="num" w:pos="5040"/>
        </w:tabs>
        <w:ind w:left="5040" w:hanging="360"/>
      </w:pPr>
      <w:rPr>
        <w:rFonts w:ascii="Arial" w:hAnsi="Arial" w:hint="default"/>
      </w:rPr>
    </w:lvl>
    <w:lvl w:ilvl="7" w:tplc="49ACA5AE" w:tentative="1">
      <w:start w:val="1"/>
      <w:numFmt w:val="bullet"/>
      <w:lvlText w:val="•"/>
      <w:lvlJc w:val="left"/>
      <w:pPr>
        <w:tabs>
          <w:tab w:val="num" w:pos="5760"/>
        </w:tabs>
        <w:ind w:left="5760" w:hanging="360"/>
      </w:pPr>
      <w:rPr>
        <w:rFonts w:ascii="Arial" w:hAnsi="Arial" w:hint="default"/>
      </w:rPr>
    </w:lvl>
    <w:lvl w:ilvl="8" w:tplc="A128175A" w:tentative="1">
      <w:start w:val="1"/>
      <w:numFmt w:val="bullet"/>
      <w:lvlText w:val="•"/>
      <w:lvlJc w:val="left"/>
      <w:pPr>
        <w:tabs>
          <w:tab w:val="num" w:pos="6480"/>
        </w:tabs>
        <w:ind w:left="6480" w:hanging="360"/>
      </w:pPr>
      <w:rPr>
        <w:rFonts w:ascii="Arial" w:hAnsi="Arial" w:hint="default"/>
      </w:rPr>
    </w:lvl>
  </w:abstractNum>
  <w:abstractNum w:abstractNumId="12">
    <w:nsid w:val="1D904614"/>
    <w:multiLevelType w:val="hybridMultilevel"/>
    <w:tmpl w:val="560A2060"/>
    <w:lvl w:ilvl="0" w:tplc="CF68586C">
      <w:start w:val="3"/>
      <w:numFmt w:val="bullet"/>
      <w:lvlText w:val="-"/>
      <w:lvlJc w:val="left"/>
      <w:pPr>
        <w:ind w:left="1260" w:hanging="360"/>
      </w:pPr>
      <w:rPr>
        <w:rFonts w:ascii="Times New Roman" w:eastAsia="Times New Roman"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nsid w:val="230B056C"/>
    <w:multiLevelType w:val="hybridMultilevel"/>
    <w:tmpl w:val="40C2C194"/>
    <w:lvl w:ilvl="0" w:tplc="DF52FFA4">
      <w:start w:val="1"/>
      <w:numFmt w:val="bullet"/>
      <w:lvlText w:val="•"/>
      <w:lvlJc w:val="left"/>
      <w:pPr>
        <w:tabs>
          <w:tab w:val="num" w:pos="720"/>
        </w:tabs>
        <w:ind w:left="720" w:hanging="360"/>
      </w:pPr>
      <w:rPr>
        <w:rFonts w:ascii="Arial" w:hAnsi="Arial" w:hint="default"/>
      </w:rPr>
    </w:lvl>
    <w:lvl w:ilvl="1" w:tplc="C4C0B166" w:tentative="1">
      <w:start w:val="1"/>
      <w:numFmt w:val="bullet"/>
      <w:lvlText w:val="•"/>
      <w:lvlJc w:val="left"/>
      <w:pPr>
        <w:tabs>
          <w:tab w:val="num" w:pos="1440"/>
        </w:tabs>
        <w:ind w:left="1440" w:hanging="360"/>
      </w:pPr>
      <w:rPr>
        <w:rFonts w:ascii="Arial" w:hAnsi="Arial" w:hint="default"/>
      </w:rPr>
    </w:lvl>
    <w:lvl w:ilvl="2" w:tplc="09D0CEAA">
      <w:start w:val="1"/>
      <w:numFmt w:val="bullet"/>
      <w:lvlText w:val="•"/>
      <w:lvlJc w:val="left"/>
      <w:pPr>
        <w:tabs>
          <w:tab w:val="num" w:pos="2160"/>
        </w:tabs>
        <w:ind w:left="2160" w:hanging="360"/>
      </w:pPr>
      <w:rPr>
        <w:rFonts w:ascii="Arial" w:hAnsi="Arial" w:hint="default"/>
      </w:rPr>
    </w:lvl>
    <w:lvl w:ilvl="3" w:tplc="FB743074" w:tentative="1">
      <w:start w:val="1"/>
      <w:numFmt w:val="bullet"/>
      <w:lvlText w:val="•"/>
      <w:lvlJc w:val="left"/>
      <w:pPr>
        <w:tabs>
          <w:tab w:val="num" w:pos="2880"/>
        </w:tabs>
        <w:ind w:left="2880" w:hanging="360"/>
      </w:pPr>
      <w:rPr>
        <w:rFonts w:ascii="Arial" w:hAnsi="Arial" w:hint="default"/>
      </w:rPr>
    </w:lvl>
    <w:lvl w:ilvl="4" w:tplc="3D24F96E" w:tentative="1">
      <w:start w:val="1"/>
      <w:numFmt w:val="bullet"/>
      <w:lvlText w:val="•"/>
      <w:lvlJc w:val="left"/>
      <w:pPr>
        <w:tabs>
          <w:tab w:val="num" w:pos="3600"/>
        </w:tabs>
        <w:ind w:left="3600" w:hanging="360"/>
      </w:pPr>
      <w:rPr>
        <w:rFonts w:ascii="Arial" w:hAnsi="Arial" w:hint="default"/>
      </w:rPr>
    </w:lvl>
    <w:lvl w:ilvl="5" w:tplc="9658387C" w:tentative="1">
      <w:start w:val="1"/>
      <w:numFmt w:val="bullet"/>
      <w:lvlText w:val="•"/>
      <w:lvlJc w:val="left"/>
      <w:pPr>
        <w:tabs>
          <w:tab w:val="num" w:pos="4320"/>
        </w:tabs>
        <w:ind w:left="4320" w:hanging="360"/>
      </w:pPr>
      <w:rPr>
        <w:rFonts w:ascii="Arial" w:hAnsi="Arial" w:hint="default"/>
      </w:rPr>
    </w:lvl>
    <w:lvl w:ilvl="6" w:tplc="7A5CB312" w:tentative="1">
      <w:start w:val="1"/>
      <w:numFmt w:val="bullet"/>
      <w:lvlText w:val="•"/>
      <w:lvlJc w:val="left"/>
      <w:pPr>
        <w:tabs>
          <w:tab w:val="num" w:pos="5040"/>
        </w:tabs>
        <w:ind w:left="5040" w:hanging="360"/>
      </w:pPr>
      <w:rPr>
        <w:rFonts w:ascii="Arial" w:hAnsi="Arial" w:hint="default"/>
      </w:rPr>
    </w:lvl>
    <w:lvl w:ilvl="7" w:tplc="29C6DC52" w:tentative="1">
      <w:start w:val="1"/>
      <w:numFmt w:val="bullet"/>
      <w:lvlText w:val="•"/>
      <w:lvlJc w:val="left"/>
      <w:pPr>
        <w:tabs>
          <w:tab w:val="num" w:pos="5760"/>
        </w:tabs>
        <w:ind w:left="5760" w:hanging="360"/>
      </w:pPr>
      <w:rPr>
        <w:rFonts w:ascii="Arial" w:hAnsi="Arial" w:hint="default"/>
      </w:rPr>
    </w:lvl>
    <w:lvl w:ilvl="8" w:tplc="D594301E" w:tentative="1">
      <w:start w:val="1"/>
      <w:numFmt w:val="bullet"/>
      <w:lvlText w:val="•"/>
      <w:lvlJc w:val="left"/>
      <w:pPr>
        <w:tabs>
          <w:tab w:val="num" w:pos="6480"/>
        </w:tabs>
        <w:ind w:left="6480" w:hanging="360"/>
      </w:pPr>
      <w:rPr>
        <w:rFonts w:ascii="Arial" w:hAnsi="Arial" w:hint="default"/>
      </w:rPr>
    </w:lvl>
  </w:abstractNum>
  <w:abstractNum w:abstractNumId="14">
    <w:nsid w:val="266705B0"/>
    <w:multiLevelType w:val="hybridMultilevel"/>
    <w:tmpl w:val="C172CCD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6AF5491"/>
    <w:multiLevelType w:val="hybridMultilevel"/>
    <w:tmpl w:val="0C429E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565C1E"/>
    <w:multiLevelType w:val="hybridMultilevel"/>
    <w:tmpl w:val="FA3C6CE4"/>
    <w:lvl w:ilvl="0" w:tplc="67D4B65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9">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3F766130"/>
    <w:multiLevelType w:val="hybridMultilevel"/>
    <w:tmpl w:val="8E3E7A16"/>
    <w:lvl w:ilvl="0" w:tplc="0616D78E">
      <w:start w:val="127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916712"/>
    <w:multiLevelType w:val="hybridMultilevel"/>
    <w:tmpl w:val="C8AE7792"/>
    <w:lvl w:ilvl="0" w:tplc="79A418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B73D90"/>
    <w:multiLevelType w:val="hybridMultilevel"/>
    <w:tmpl w:val="3618880C"/>
    <w:lvl w:ilvl="0" w:tplc="83DE5ECC">
      <w:start w:val="1"/>
      <w:numFmt w:val="low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23">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4">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9D235E3"/>
    <w:multiLevelType w:val="hybridMultilevel"/>
    <w:tmpl w:val="EDDCAA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4B6C3A44"/>
    <w:multiLevelType w:val="hybridMultilevel"/>
    <w:tmpl w:val="F856B3A0"/>
    <w:lvl w:ilvl="0" w:tplc="A8CAD8AE">
      <w:start w:val="1"/>
      <w:numFmt w:val="decimal"/>
      <w:lvlText w:val="%1."/>
      <w:lvlJc w:val="left"/>
      <w:pPr>
        <w:tabs>
          <w:tab w:val="num" w:pos="720"/>
        </w:tabs>
        <w:ind w:left="720" w:hanging="360"/>
      </w:pPr>
      <w:rPr>
        <w:rFonts w:ascii="Times New Roman" w:eastAsia="Times New Roman" w:hAnsi="Times New Roman" w:cs="Times New Roman"/>
      </w:rPr>
    </w:lvl>
    <w:lvl w:ilvl="1" w:tplc="7CAA0562">
      <w:start w:val="2588"/>
      <w:numFmt w:val="bullet"/>
      <w:lvlText w:val="–"/>
      <w:lvlJc w:val="left"/>
      <w:pPr>
        <w:tabs>
          <w:tab w:val="num" w:pos="1440"/>
        </w:tabs>
        <w:ind w:left="1440" w:hanging="360"/>
      </w:pPr>
      <w:rPr>
        <w:rFonts w:ascii="Arial" w:hAnsi="Arial" w:cs="Times New Roman" w:hint="default"/>
      </w:rPr>
    </w:lvl>
    <w:lvl w:ilvl="2" w:tplc="DD9647F0">
      <w:start w:val="2588"/>
      <w:numFmt w:val="bullet"/>
      <w:lvlText w:val="•"/>
      <w:lvlJc w:val="left"/>
      <w:pPr>
        <w:tabs>
          <w:tab w:val="num" w:pos="2160"/>
        </w:tabs>
        <w:ind w:left="2160" w:hanging="360"/>
      </w:pPr>
      <w:rPr>
        <w:rFonts w:ascii="Arial" w:hAnsi="Arial" w:cs="Times New Roman" w:hint="default"/>
      </w:rPr>
    </w:lvl>
    <w:lvl w:ilvl="3" w:tplc="10FA8F68">
      <w:start w:val="1"/>
      <w:numFmt w:val="bullet"/>
      <w:lvlText w:val="•"/>
      <w:lvlJc w:val="left"/>
      <w:pPr>
        <w:tabs>
          <w:tab w:val="num" w:pos="2880"/>
        </w:tabs>
        <w:ind w:left="2880" w:hanging="360"/>
      </w:pPr>
      <w:rPr>
        <w:rFonts w:ascii="Arial" w:hAnsi="Arial" w:cs="Times New Roman" w:hint="default"/>
      </w:rPr>
    </w:lvl>
    <w:lvl w:ilvl="4" w:tplc="22C07EFE">
      <w:start w:val="1"/>
      <w:numFmt w:val="bullet"/>
      <w:lvlText w:val="•"/>
      <w:lvlJc w:val="left"/>
      <w:pPr>
        <w:tabs>
          <w:tab w:val="num" w:pos="3600"/>
        </w:tabs>
        <w:ind w:left="3600" w:hanging="360"/>
      </w:pPr>
      <w:rPr>
        <w:rFonts w:ascii="Arial" w:hAnsi="Arial" w:cs="Times New Roman" w:hint="default"/>
      </w:rPr>
    </w:lvl>
    <w:lvl w:ilvl="5" w:tplc="6F464D3E">
      <w:start w:val="1"/>
      <w:numFmt w:val="bullet"/>
      <w:lvlText w:val="•"/>
      <w:lvlJc w:val="left"/>
      <w:pPr>
        <w:tabs>
          <w:tab w:val="num" w:pos="4320"/>
        </w:tabs>
        <w:ind w:left="4320" w:hanging="360"/>
      </w:pPr>
      <w:rPr>
        <w:rFonts w:ascii="Arial" w:hAnsi="Arial" w:cs="Times New Roman" w:hint="default"/>
      </w:rPr>
    </w:lvl>
    <w:lvl w:ilvl="6" w:tplc="981C056A">
      <w:start w:val="1"/>
      <w:numFmt w:val="bullet"/>
      <w:lvlText w:val="•"/>
      <w:lvlJc w:val="left"/>
      <w:pPr>
        <w:tabs>
          <w:tab w:val="num" w:pos="5040"/>
        </w:tabs>
        <w:ind w:left="5040" w:hanging="360"/>
      </w:pPr>
      <w:rPr>
        <w:rFonts w:ascii="Arial" w:hAnsi="Arial" w:cs="Times New Roman" w:hint="default"/>
      </w:rPr>
    </w:lvl>
    <w:lvl w:ilvl="7" w:tplc="36A0E2EE">
      <w:start w:val="1"/>
      <w:numFmt w:val="bullet"/>
      <w:lvlText w:val="•"/>
      <w:lvlJc w:val="left"/>
      <w:pPr>
        <w:tabs>
          <w:tab w:val="num" w:pos="5760"/>
        </w:tabs>
        <w:ind w:left="5760" w:hanging="360"/>
      </w:pPr>
      <w:rPr>
        <w:rFonts w:ascii="Arial" w:hAnsi="Arial" w:cs="Times New Roman" w:hint="default"/>
      </w:rPr>
    </w:lvl>
    <w:lvl w:ilvl="8" w:tplc="7056192E">
      <w:start w:val="1"/>
      <w:numFmt w:val="bullet"/>
      <w:lvlText w:val="•"/>
      <w:lvlJc w:val="left"/>
      <w:pPr>
        <w:tabs>
          <w:tab w:val="num" w:pos="6480"/>
        </w:tabs>
        <w:ind w:left="6480" w:hanging="360"/>
      </w:pPr>
      <w:rPr>
        <w:rFonts w:ascii="Arial" w:hAnsi="Arial" w:cs="Times New Roman" w:hint="default"/>
      </w:rPr>
    </w:lvl>
  </w:abstractNum>
  <w:abstractNum w:abstractNumId="28">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4E0549C0"/>
    <w:multiLevelType w:val="hybridMultilevel"/>
    <w:tmpl w:val="C58AE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F1B0937"/>
    <w:multiLevelType w:val="hybridMultilevel"/>
    <w:tmpl w:val="605879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357682"/>
    <w:multiLevelType w:val="hybridMultilevel"/>
    <w:tmpl w:val="2D8484B8"/>
    <w:lvl w:ilvl="0" w:tplc="FC10BBC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3">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5">
    <w:nsid w:val="5C52768A"/>
    <w:multiLevelType w:val="hybridMultilevel"/>
    <w:tmpl w:val="CFA8F760"/>
    <w:lvl w:ilvl="0" w:tplc="8A1CFB2E">
      <w:start w:val="1"/>
      <w:numFmt w:val="lowerLetter"/>
      <w:lvlText w:val="(%1)"/>
      <w:lvlJc w:val="left"/>
      <w:pPr>
        <w:ind w:left="2205" w:hanging="360"/>
      </w:pPr>
      <w:rPr>
        <w:rFonts w:hint="default"/>
      </w:r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6">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7">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9">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00D6CB8"/>
    <w:multiLevelType w:val="hybridMultilevel"/>
    <w:tmpl w:val="314463AA"/>
    <w:lvl w:ilvl="0" w:tplc="CF68586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972883"/>
    <w:multiLevelType w:val="hybridMultilevel"/>
    <w:tmpl w:val="E3E41E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B15676"/>
    <w:multiLevelType w:val="hybridMultilevel"/>
    <w:tmpl w:val="1584AFDE"/>
    <w:lvl w:ilvl="0" w:tplc="1B46BD3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634CE6"/>
    <w:multiLevelType w:val="hybridMultilevel"/>
    <w:tmpl w:val="924008FC"/>
    <w:lvl w:ilvl="0" w:tplc="2F3439F6">
      <w:start w:val="1"/>
      <w:numFmt w:val="bullet"/>
      <w:lvlText w:val="•"/>
      <w:lvlJc w:val="left"/>
      <w:pPr>
        <w:tabs>
          <w:tab w:val="num" w:pos="720"/>
        </w:tabs>
        <w:ind w:left="720" w:hanging="360"/>
      </w:pPr>
      <w:rPr>
        <w:rFonts w:ascii="Arial" w:hAnsi="Arial" w:hint="default"/>
      </w:rPr>
    </w:lvl>
    <w:lvl w:ilvl="1" w:tplc="0616D78E">
      <w:start w:val="1279"/>
      <w:numFmt w:val="bullet"/>
      <w:lvlText w:val="–"/>
      <w:lvlJc w:val="left"/>
      <w:pPr>
        <w:tabs>
          <w:tab w:val="num" w:pos="1440"/>
        </w:tabs>
        <w:ind w:left="1440" w:hanging="360"/>
      </w:pPr>
      <w:rPr>
        <w:rFonts w:ascii="Arial" w:hAnsi="Arial" w:hint="default"/>
      </w:rPr>
    </w:lvl>
    <w:lvl w:ilvl="2" w:tplc="0F9AD4DC">
      <w:start w:val="1279"/>
      <w:numFmt w:val="bullet"/>
      <w:lvlText w:val="•"/>
      <w:lvlJc w:val="left"/>
      <w:pPr>
        <w:tabs>
          <w:tab w:val="num" w:pos="2160"/>
        </w:tabs>
        <w:ind w:left="2160" w:hanging="360"/>
      </w:pPr>
      <w:rPr>
        <w:rFonts w:ascii="Arial" w:hAnsi="Arial" w:hint="default"/>
      </w:rPr>
    </w:lvl>
    <w:lvl w:ilvl="3" w:tplc="9528B948">
      <w:start w:val="1279"/>
      <w:numFmt w:val="bullet"/>
      <w:lvlText w:val="–"/>
      <w:lvlJc w:val="left"/>
      <w:pPr>
        <w:tabs>
          <w:tab w:val="num" w:pos="2880"/>
        </w:tabs>
        <w:ind w:left="2880" w:hanging="360"/>
      </w:pPr>
      <w:rPr>
        <w:rFonts w:ascii="Arial" w:hAnsi="Arial" w:hint="default"/>
      </w:rPr>
    </w:lvl>
    <w:lvl w:ilvl="4" w:tplc="AF5AA936">
      <w:start w:val="1279"/>
      <w:numFmt w:val="bullet"/>
      <w:lvlText w:val=""/>
      <w:lvlJc w:val="left"/>
      <w:pPr>
        <w:tabs>
          <w:tab w:val="num" w:pos="3600"/>
        </w:tabs>
        <w:ind w:left="3600" w:hanging="360"/>
      </w:pPr>
      <w:rPr>
        <w:rFonts w:ascii="Wingdings" w:hAnsi="Wingdings" w:hint="default"/>
      </w:rPr>
    </w:lvl>
    <w:lvl w:ilvl="5" w:tplc="310ABACA" w:tentative="1">
      <w:start w:val="1"/>
      <w:numFmt w:val="bullet"/>
      <w:lvlText w:val="•"/>
      <w:lvlJc w:val="left"/>
      <w:pPr>
        <w:tabs>
          <w:tab w:val="num" w:pos="4320"/>
        </w:tabs>
        <w:ind w:left="4320" w:hanging="360"/>
      </w:pPr>
      <w:rPr>
        <w:rFonts w:ascii="Arial" w:hAnsi="Arial" w:hint="default"/>
      </w:rPr>
    </w:lvl>
    <w:lvl w:ilvl="6" w:tplc="88E2BB24" w:tentative="1">
      <w:start w:val="1"/>
      <w:numFmt w:val="bullet"/>
      <w:lvlText w:val="•"/>
      <w:lvlJc w:val="left"/>
      <w:pPr>
        <w:tabs>
          <w:tab w:val="num" w:pos="5040"/>
        </w:tabs>
        <w:ind w:left="5040" w:hanging="360"/>
      </w:pPr>
      <w:rPr>
        <w:rFonts w:ascii="Arial" w:hAnsi="Arial" w:hint="default"/>
      </w:rPr>
    </w:lvl>
    <w:lvl w:ilvl="7" w:tplc="0E96015C" w:tentative="1">
      <w:start w:val="1"/>
      <w:numFmt w:val="bullet"/>
      <w:lvlText w:val="•"/>
      <w:lvlJc w:val="left"/>
      <w:pPr>
        <w:tabs>
          <w:tab w:val="num" w:pos="5760"/>
        </w:tabs>
        <w:ind w:left="5760" w:hanging="360"/>
      </w:pPr>
      <w:rPr>
        <w:rFonts w:ascii="Arial" w:hAnsi="Arial" w:hint="default"/>
      </w:rPr>
    </w:lvl>
    <w:lvl w:ilvl="8" w:tplc="82AA4EF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7"/>
  </w:num>
  <w:num w:numId="3">
    <w:abstractNumId w:val="38"/>
  </w:num>
  <w:num w:numId="4">
    <w:abstractNumId w:val="19"/>
  </w:num>
  <w:num w:numId="5">
    <w:abstractNumId w:val="32"/>
  </w:num>
  <w:num w:numId="6">
    <w:abstractNumId w:val="17"/>
  </w:num>
  <w:num w:numId="7">
    <w:abstractNumId w:val="34"/>
  </w:num>
  <w:num w:numId="8">
    <w:abstractNumId w:val="37"/>
  </w:num>
  <w:num w:numId="9">
    <w:abstractNumId w:val="39"/>
  </w:num>
  <w:num w:numId="10">
    <w:abstractNumId w:val="28"/>
  </w:num>
  <w:num w:numId="11">
    <w:abstractNumId w:val="23"/>
  </w:num>
  <w:num w:numId="12">
    <w:abstractNumId w:val="3"/>
  </w:num>
  <w:num w:numId="13">
    <w:abstractNumId w:val="5"/>
  </w:num>
  <w:num w:numId="14">
    <w:abstractNumId w:val="36"/>
  </w:num>
  <w:num w:numId="15">
    <w:abstractNumId w:val="26"/>
  </w:num>
  <w:num w:numId="16">
    <w:abstractNumId w:val="24"/>
  </w:num>
  <w:num w:numId="17">
    <w:abstractNumId w:val="42"/>
  </w:num>
  <w:num w:numId="18">
    <w:abstractNumId w:val="21"/>
  </w:num>
  <w:num w:numId="19">
    <w:abstractNumId w:val="33"/>
  </w:num>
  <w:num w:numId="20">
    <w:abstractNumId w:val="22"/>
  </w:num>
  <w:num w:numId="21">
    <w:abstractNumId w:val="1"/>
  </w:num>
  <w:num w:numId="22">
    <w:abstractNumId w:val="35"/>
  </w:num>
  <w:num w:numId="23">
    <w:abstractNumId w:val="31"/>
  </w:num>
  <w:num w:numId="24">
    <w:abstractNumId w:val="10"/>
  </w:num>
  <w:num w:numId="25">
    <w:abstractNumId w:val="25"/>
  </w:num>
  <w:num w:numId="26">
    <w:abstractNumId w:val="14"/>
  </w:num>
  <w:num w:numId="27">
    <w:abstractNumId w:val="43"/>
  </w:num>
  <w:num w:numId="28">
    <w:abstractNumId w:val="2"/>
  </w:num>
  <w:num w:numId="29">
    <w:abstractNumId w:val="11"/>
  </w:num>
  <w:num w:numId="30">
    <w:abstractNumId w:val="40"/>
  </w:num>
  <w:num w:numId="31">
    <w:abstractNumId w:val="6"/>
  </w:num>
  <w:num w:numId="32">
    <w:abstractNumId w:val="12"/>
  </w:num>
  <w:num w:numId="33">
    <w:abstractNumId w:val="13"/>
  </w:num>
  <w:num w:numId="34">
    <w:abstractNumId w:val="41"/>
  </w:num>
  <w:num w:numId="35">
    <w:abstractNumId w:val="27"/>
  </w:num>
  <w:num w:numId="36">
    <w:abstractNumId w:val="20"/>
  </w:num>
  <w:num w:numId="37">
    <w:abstractNumId w:val="8"/>
  </w:num>
  <w:num w:numId="38">
    <w:abstractNumId w:val="9"/>
  </w:num>
  <w:num w:numId="39">
    <w:abstractNumId w:val="30"/>
  </w:num>
  <w:num w:numId="40">
    <w:abstractNumId w:val="15"/>
  </w:num>
  <w:num w:numId="41">
    <w:abstractNumId w:val="29"/>
  </w:num>
  <w:num w:numId="42">
    <w:abstractNumId w:val="0"/>
  </w:num>
  <w:num w:numId="43">
    <w:abstractNumId w:val="4"/>
  </w:num>
  <w:num w:numId="44">
    <w:abstractNumId w:val="18"/>
  </w:num>
  <w:num w:numId="4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attachedTemplate r:id="rId1"/>
  <w:linkStyles/>
  <w:stylePaneFormatFilter w:val="3F01"/>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1506">
      <v:textbox inset="5.85pt,.7pt,5.85pt,.7pt"/>
    </o:shapedefaults>
  </w:hdrShapeDefaults>
  <w:footnotePr>
    <w:footnote w:id="-1"/>
    <w:footnote w:id="0"/>
  </w:footnotePr>
  <w:endnotePr>
    <w:endnote w:id="-1"/>
    <w:endnote w:id="0"/>
  </w:endnotePr>
  <w:compat>
    <w:useFELayout/>
  </w:compat>
  <w:rsids>
    <w:rsidRoot w:val="00C539C7"/>
    <w:rsid w:val="00000480"/>
    <w:rsid w:val="0000049D"/>
    <w:rsid w:val="00001C6D"/>
    <w:rsid w:val="0000238A"/>
    <w:rsid w:val="00003053"/>
    <w:rsid w:val="000034AB"/>
    <w:rsid w:val="000036E5"/>
    <w:rsid w:val="00003B2B"/>
    <w:rsid w:val="00003DD9"/>
    <w:rsid w:val="00004348"/>
    <w:rsid w:val="000070C4"/>
    <w:rsid w:val="00007A7A"/>
    <w:rsid w:val="000103EC"/>
    <w:rsid w:val="00010D3D"/>
    <w:rsid w:val="00010D69"/>
    <w:rsid w:val="0001181D"/>
    <w:rsid w:val="00011DFC"/>
    <w:rsid w:val="00012A65"/>
    <w:rsid w:val="00013B6F"/>
    <w:rsid w:val="00014FE9"/>
    <w:rsid w:val="000153B1"/>
    <w:rsid w:val="00015E67"/>
    <w:rsid w:val="0001636D"/>
    <w:rsid w:val="0001660E"/>
    <w:rsid w:val="00016C9C"/>
    <w:rsid w:val="00017416"/>
    <w:rsid w:val="0002010B"/>
    <w:rsid w:val="00020708"/>
    <w:rsid w:val="00020C1B"/>
    <w:rsid w:val="0002209B"/>
    <w:rsid w:val="000244DF"/>
    <w:rsid w:val="00025356"/>
    <w:rsid w:val="000256CA"/>
    <w:rsid w:val="00025CD5"/>
    <w:rsid w:val="00025FDA"/>
    <w:rsid w:val="00026AE7"/>
    <w:rsid w:val="00027038"/>
    <w:rsid w:val="000278B2"/>
    <w:rsid w:val="0003005C"/>
    <w:rsid w:val="00030854"/>
    <w:rsid w:val="00030FFB"/>
    <w:rsid w:val="00032B03"/>
    <w:rsid w:val="00032D86"/>
    <w:rsid w:val="00033583"/>
    <w:rsid w:val="00035241"/>
    <w:rsid w:val="00035433"/>
    <w:rsid w:val="0003560E"/>
    <w:rsid w:val="00036046"/>
    <w:rsid w:val="0003609B"/>
    <w:rsid w:val="000363A4"/>
    <w:rsid w:val="00037653"/>
    <w:rsid w:val="0003777E"/>
    <w:rsid w:val="000400EA"/>
    <w:rsid w:val="00040D62"/>
    <w:rsid w:val="00041FCD"/>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474C"/>
    <w:rsid w:val="000560B4"/>
    <w:rsid w:val="00056A23"/>
    <w:rsid w:val="00056A79"/>
    <w:rsid w:val="00056BFB"/>
    <w:rsid w:val="00056E4A"/>
    <w:rsid w:val="000575CB"/>
    <w:rsid w:val="00057621"/>
    <w:rsid w:val="00057BBB"/>
    <w:rsid w:val="00061605"/>
    <w:rsid w:val="000620B3"/>
    <w:rsid w:val="00062AB8"/>
    <w:rsid w:val="00062FEC"/>
    <w:rsid w:val="00063402"/>
    <w:rsid w:val="00063769"/>
    <w:rsid w:val="00063986"/>
    <w:rsid w:val="00063B21"/>
    <w:rsid w:val="00063CC6"/>
    <w:rsid w:val="00064199"/>
    <w:rsid w:val="00064329"/>
    <w:rsid w:val="00064B4F"/>
    <w:rsid w:val="00064F65"/>
    <w:rsid w:val="0006531F"/>
    <w:rsid w:val="00065BAD"/>
    <w:rsid w:val="00067216"/>
    <w:rsid w:val="0007138E"/>
    <w:rsid w:val="00074250"/>
    <w:rsid w:val="00074371"/>
    <w:rsid w:val="00074A22"/>
    <w:rsid w:val="00074B0A"/>
    <w:rsid w:val="00075259"/>
    <w:rsid w:val="00075305"/>
    <w:rsid w:val="000761C7"/>
    <w:rsid w:val="000771BE"/>
    <w:rsid w:val="00077886"/>
    <w:rsid w:val="0008038F"/>
    <w:rsid w:val="00080DB5"/>
    <w:rsid w:val="00080E9D"/>
    <w:rsid w:val="00081B5F"/>
    <w:rsid w:val="00081CA1"/>
    <w:rsid w:val="00082CCF"/>
    <w:rsid w:val="000831AA"/>
    <w:rsid w:val="000833D1"/>
    <w:rsid w:val="00083889"/>
    <w:rsid w:val="00083FE1"/>
    <w:rsid w:val="000843C9"/>
    <w:rsid w:val="00084E45"/>
    <w:rsid w:val="0008533C"/>
    <w:rsid w:val="00085A2C"/>
    <w:rsid w:val="0008712F"/>
    <w:rsid w:val="000875ED"/>
    <w:rsid w:val="00090A1C"/>
    <w:rsid w:val="00091AAD"/>
    <w:rsid w:val="00092102"/>
    <w:rsid w:val="000931FF"/>
    <w:rsid w:val="000937FD"/>
    <w:rsid w:val="000956D2"/>
    <w:rsid w:val="00095DE7"/>
    <w:rsid w:val="00096228"/>
    <w:rsid w:val="00096F32"/>
    <w:rsid w:val="0009738D"/>
    <w:rsid w:val="0009758A"/>
    <w:rsid w:val="00097833"/>
    <w:rsid w:val="000A00AD"/>
    <w:rsid w:val="000A0820"/>
    <w:rsid w:val="000A16FF"/>
    <w:rsid w:val="000A2D67"/>
    <w:rsid w:val="000A4353"/>
    <w:rsid w:val="000A56D6"/>
    <w:rsid w:val="000A5961"/>
    <w:rsid w:val="000A61B4"/>
    <w:rsid w:val="000A76F5"/>
    <w:rsid w:val="000B005A"/>
    <w:rsid w:val="000B0B37"/>
    <w:rsid w:val="000B0BD2"/>
    <w:rsid w:val="000B1364"/>
    <w:rsid w:val="000B1395"/>
    <w:rsid w:val="000B1994"/>
    <w:rsid w:val="000B241B"/>
    <w:rsid w:val="000B2489"/>
    <w:rsid w:val="000B2764"/>
    <w:rsid w:val="000B29E5"/>
    <w:rsid w:val="000B310B"/>
    <w:rsid w:val="000B3238"/>
    <w:rsid w:val="000B4022"/>
    <w:rsid w:val="000B490D"/>
    <w:rsid w:val="000B5006"/>
    <w:rsid w:val="000B5812"/>
    <w:rsid w:val="000B5E32"/>
    <w:rsid w:val="000B6085"/>
    <w:rsid w:val="000B65A6"/>
    <w:rsid w:val="000B79F3"/>
    <w:rsid w:val="000C017D"/>
    <w:rsid w:val="000C1415"/>
    <w:rsid w:val="000C148E"/>
    <w:rsid w:val="000C1528"/>
    <w:rsid w:val="000C18B8"/>
    <w:rsid w:val="000C1C43"/>
    <w:rsid w:val="000C2137"/>
    <w:rsid w:val="000C3C82"/>
    <w:rsid w:val="000C4476"/>
    <w:rsid w:val="000C450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79"/>
    <w:rsid w:val="000E1BBF"/>
    <w:rsid w:val="000E2200"/>
    <w:rsid w:val="000E2CCA"/>
    <w:rsid w:val="000E5068"/>
    <w:rsid w:val="000E58FE"/>
    <w:rsid w:val="000E59B2"/>
    <w:rsid w:val="000E5E31"/>
    <w:rsid w:val="000E6154"/>
    <w:rsid w:val="000E678C"/>
    <w:rsid w:val="000E67E3"/>
    <w:rsid w:val="000F1992"/>
    <w:rsid w:val="000F2105"/>
    <w:rsid w:val="000F2D35"/>
    <w:rsid w:val="000F3FD7"/>
    <w:rsid w:val="000F5285"/>
    <w:rsid w:val="000F5509"/>
    <w:rsid w:val="000F6C14"/>
    <w:rsid w:val="00100084"/>
    <w:rsid w:val="00100C02"/>
    <w:rsid w:val="00101DAE"/>
    <w:rsid w:val="001020E8"/>
    <w:rsid w:val="00102144"/>
    <w:rsid w:val="0010216F"/>
    <w:rsid w:val="0010286A"/>
    <w:rsid w:val="00103164"/>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73E1"/>
    <w:rsid w:val="00117653"/>
    <w:rsid w:val="0012083E"/>
    <w:rsid w:val="00121208"/>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2771E"/>
    <w:rsid w:val="0013021E"/>
    <w:rsid w:val="00130F73"/>
    <w:rsid w:val="00131D4F"/>
    <w:rsid w:val="0013220E"/>
    <w:rsid w:val="00132C5E"/>
    <w:rsid w:val="00132F7C"/>
    <w:rsid w:val="00133104"/>
    <w:rsid w:val="00133975"/>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24EE"/>
    <w:rsid w:val="00153451"/>
    <w:rsid w:val="00153CC4"/>
    <w:rsid w:val="00154EAA"/>
    <w:rsid w:val="00155421"/>
    <w:rsid w:val="00155742"/>
    <w:rsid w:val="001569C5"/>
    <w:rsid w:val="001576D5"/>
    <w:rsid w:val="00160D76"/>
    <w:rsid w:val="00160D86"/>
    <w:rsid w:val="001613C8"/>
    <w:rsid w:val="00161427"/>
    <w:rsid w:val="001620B8"/>
    <w:rsid w:val="00162BF0"/>
    <w:rsid w:val="001637F5"/>
    <w:rsid w:val="00164191"/>
    <w:rsid w:val="00164F80"/>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930"/>
    <w:rsid w:val="00180A47"/>
    <w:rsid w:val="00180F3D"/>
    <w:rsid w:val="00182214"/>
    <w:rsid w:val="00183653"/>
    <w:rsid w:val="0018410C"/>
    <w:rsid w:val="001849CC"/>
    <w:rsid w:val="0018538D"/>
    <w:rsid w:val="0018544F"/>
    <w:rsid w:val="00187BD8"/>
    <w:rsid w:val="00187C3A"/>
    <w:rsid w:val="001913EE"/>
    <w:rsid w:val="0019371F"/>
    <w:rsid w:val="00194A58"/>
    <w:rsid w:val="00197CF2"/>
    <w:rsid w:val="001A0A48"/>
    <w:rsid w:val="001A0E54"/>
    <w:rsid w:val="001A1A85"/>
    <w:rsid w:val="001A21F0"/>
    <w:rsid w:val="001A2841"/>
    <w:rsid w:val="001A2A1F"/>
    <w:rsid w:val="001A42BA"/>
    <w:rsid w:val="001A4B5D"/>
    <w:rsid w:val="001A5051"/>
    <w:rsid w:val="001A6598"/>
    <w:rsid w:val="001A6DD8"/>
    <w:rsid w:val="001A6EFA"/>
    <w:rsid w:val="001B085E"/>
    <w:rsid w:val="001B08ED"/>
    <w:rsid w:val="001B0AC6"/>
    <w:rsid w:val="001B140D"/>
    <w:rsid w:val="001B2204"/>
    <w:rsid w:val="001B2679"/>
    <w:rsid w:val="001B3238"/>
    <w:rsid w:val="001B36B4"/>
    <w:rsid w:val="001B3743"/>
    <w:rsid w:val="001B40C0"/>
    <w:rsid w:val="001B5520"/>
    <w:rsid w:val="001B59B6"/>
    <w:rsid w:val="001B59BA"/>
    <w:rsid w:val="001B5A53"/>
    <w:rsid w:val="001B6584"/>
    <w:rsid w:val="001C057C"/>
    <w:rsid w:val="001C0A2D"/>
    <w:rsid w:val="001C0BD4"/>
    <w:rsid w:val="001C18EB"/>
    <w:rsid w:val="001C194E"/>
    <w:rsid w:val="001C213E"/>
    <w:rsid w:val="001C24D8"/>
    <w:rsid w:val="001C2666"/>
    <w:rsid w:val="001C2995"/>
    <w:rsid w:val="001C5192"/>
    <w:rsid w:val="001C5A71"/>
    <w:rsid w:val="001C5C1A"/>
    <w:rsid w:val="001C600D"/>
    <w:rsid w:val="001C692F"/>
    <w:rsid w:val="001C6A56"/>
    <w:rsid w:val="001C6F5D"/>
    <w:rsid w:val="001C6FC4"/>
    <w:rsid w:val="001C77CF"/>
    <w:rsid w:val="001D006A"/>
    <w:rsid w:val="001D0164"/>
    <w:rsid w:val="001D16B2"/>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147"/>
    <w:rsid w:val="001E2232"/>
    <w:rsid w:val="001E235C"/>
    <w:rsid w:val="001E25FC"/>
    <w:rsid w:val="001E3C47"/>
    <w:rsid w:val="001E45DE"/>
    <w:rsid w:val="001E52D9"/>
    <w:rsid w:val="001E5718"/>
    <w:rsid w:val="001E589A"/>
    <w:rsid w:val="001E5C64"/>
    <w:rsid w:val="001E5E75"/>
    <w:rsid w:val="001E718A"/>
    <w:rsid w:val="001F1F1B"/>
    <w:rsid w:val="001F2050"/>
    <w:rsid w:val="001F28AB"/>
    <w:rsid w:val="001F2D7C"/>
    <w:rsid w:val="001F3C2C"/>
    <w:rsid w:val="001F4166"/>
    <w:rsid w:val="001F4C5F"/>
    <w:rsid w:val="001F54FB"/>
    <w:rsid w:val="001F5981"/>
    <w:rsid w:val="001F609C"/>
    <w:rsid w:val="001F6D5A"/>
    <w:rsid w:val="001F7726"/>
    <w:rsid w:val="00200D76"/>
    <w:rsid w:val="0020114C"/>
    <w:rsid w:val="0020124E"/>
    <w:rsid w:val="00202451"/>
    <w:rsid w:val="002024ED"/>
    <w:rsid w:val="00202CF4"/>
    <w:rsid w:val="00203DD3"/>
    <w:rsid w:val="0020425F"/>
    <w:rsid w:val="00205819"/>
    <w:rsid w:val="00205935"/>
    <w:rsid w:val="00210292"/>
    <w:rsid w:val="002112C3"/>
    <w:rsid w:val="002114D7"/>
    <w:rsid w:val="002119CF"/>
    <w:rsid w:val="00211D57"/>
    <w:rsid w:val="002137C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26BF"/>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47F68"/>
    <w:rsid w:val="002505E5"/>
    <w:rsid w:val="00250895"/>
    <w:rsid w:val="002510DE"/>
    <w:rsid w:val="00251681"/>
    <w:rsid w:val="0025185A"/>
    <w:rsid w:val="00251B24"/>
    <w:rsid w:val="00251B5A"/>
    <w:rsid w:val="00252CC4"/>
    <w:rsid w:val="00254147"/>
    <w:rsid w:val="002545CA"/>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4757"/>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7E"/>
    <w:rsid w:val="002A4268"/>
    <w:rsid w:val="002A4C64"/>
    <w:rsid w:val="002A4D81"/>
    <w:rsid w:val="002A4FA6"/>
    <w:rsid w:val="002A5BDF"/>
    <w:rsid w:val="002A5DF4"/>
    <w:rsid w:val="002A5E4C"/>
    <w:rsid w:val="002A605B"/>
    <w:rsid w:val="002A60A7"/>
    <w:rsid w:val="002A7685"/>
    <w:rsid w:val="002B00AF"/>
    <w:rsid w:val="002B0387"/>
    <w:rsid w:val="002B0DA4"/>
    <w:rsid w:val="002B1156"/>
    <w:rsid w:val="002B117B"/>
    <w:rsid w:val="002B2B25"/>
    <w:rsid w:val="002B3391"/>
    <w:rsid w:val="002B384E"/>
    <w:rsid w:val="002B3CD6"/>
    <w:rsid w:val="002B3D5A"/>
    <w:rsid w:val="002B43FC"/>
    <w:rsid w:val="002B739C"/>
    <w:rsid w:val="002B7918"/>
    <w:rsid w:val="002C0081"/>
    <w:rsid w:val="002C0167"/>
    <w:rsid w:val="002C0256"/>
    <w:rsid w:val="002C18C0"/>
    <w:rsid w:val="002C1B6C"/>
    <w:rsid w:val="002C266A"/>
    <w:rsid w:val="002C2A26"/>
    <w:rsid w:val="002C2ACE"/>
    <w:rsid w:val="002C2FA3"/>
    <w:rsid w:val="002C5170"/>
    <w:rsid w:val="002C5DA9"/>
    <w:rsid w:val="002C607A"/>
    <w:rsid w:val="002C66CC"/>
    <w:rsid w:val="002C6C46"/>
    <w:rsid w:val="002D0BDB"/>
    <w:rsid w:val="002D121D"/>
    <w:rsid w:val="002D1F9E"/>
    <w:rsid w:val="002D2E18"/>
    <w:rsid w:val="002D2E56"/>
    <w:rsid w:val="002D38BC"/>
    <w:rsid w:val="002D3B1D"/>
    <w:rsid w:val="002D43AC"/>
    <w:rsid w:val="002D4773"/>
    <w:rsid w:val="002D5A98"/>
    <w:rsid w:val="002D5ED9"/>
    <w:rsid w:val="002D66D8"/>
    <w:rsid w:val="002D685E"/>
    <w:rsid w:val="002D6BDC"/>
    <w:rsid w:val="002D6D50"/>
    <w:rsid w:val="002D6E2F"/>
    <w:rsid w:val="002D71AC"/>
    <w:rsid w:val="002D7A2A"/>
    <w:rsid w:val="002D7E4B"/>
    <w:rsid w:val="002E0206"/>
    <w:rsid w:val="002E06B4"/>
    <w:rsid w:val="002E0A74"/>
    <w:rsid w:val="002E0EB6"/>
    <w:rsid w:val="002E13FF"/>
    <w:rsid w:val="002E1CF5"/>
    <w:rsid w:val="002E20BB"/>
    <w:rsid w:val="002E22F5"/>
    <w:rsid w:val="002E46A4"/>
    <w:rsid w:val="002E4C46"/>
    <w:rsid w:val="002E4DE3"/>
    <w:rsid w:val="002E51CE"/>
    <w:rsid w:val="002E663F"/>
    <w:rsid w:val="002E6A2B"/>
    <w:rsid w:val="002E6AE0"/>
    <w:rsid w:val="002E6CDE"/>
    <w:rsid w:val="002E7779"/>
    <w:rsid w:val="002F0053"/>
    <w:rsid w:val="002F09A8"/>
    <w:rsid w:val="002F1D70"/>
    <w:rsid w:val="002F260A"/>
    <w:rsid w:val="002F2613"/>
    <w:rsid w:val="002F653F"/>
    <w:rsid w:val="002F757F"/>
    <w:rsid w:val="002F7E6E"/>
    <w:rsid w:val="002F7E84"/>
    <w:rsid w:val="003000C0"/>
    <w:rsid w:val="00300254"/>
    <w:rsid w:val="00300536"/>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0A4"/>
    <w:rsid w:val="0031796C"/>
    <w:rsid w:val="00317D02"/>
    <w:rsid w:val="00320201"/>
    <w:rsid w:val="00321E3B"/>
    <w:rsid w:val="00322171"/>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2C9D"/>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7AA"/>
    <w:rsid w:val="003438F1"/>
    <w:rsid w:val="0034411E"/>
    <w:rsid w:val="00344261"/>
    <w:rsid w:val="00344344"/>
    <w:rsid w:val="003460DD"/>
    <w:rsid w:val="00346886"/>
    <w:rsid w:val="003506AE"/>
    <w:rsid w:val="00350825"/>
    <w:rsid w:val="00350E26"/>
    <w:rsid w:val="00351B40"/>
    <w:rsid w:val="00351F1E"/>
    <w:rsid w:val="00353003"/>
    <w:rsid w:val="00353CF6"/>
    <w:rsid w:val="00353EDF"/>
    <w:rsid w:val="00354CB2"/>
    <w:rsid w:val="0035594C"/>
    <w:rsid w:val="00356767"/>
    <w:rsid w:val="003567C1"/>
    <w:rsid w:val="0036117C"/>
    <w:rsid w:val="003612A1"/>
    <w:rsid w:val="00362324"/>
    <w:rsid w:val="00362A99"/>
    <w:rsid w:val="003631DD"/>
    <w:rsid w:val="003632F2"/>
    <w:rsid w:val="00365545"/>
    <w:rsid w:val="00366364"/>
    <w:rsid w:val="003663ED"/>
    <w:rsid w:val="0036726C"/>
    <w:rsid w:val="003679C3"/>
    <w:rsid w:val="00367E8B"/>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175"/>
    <w:rsid w:val="0038338C"/>
    <w:rsid w:val="00383838"/>
    <w:rsid w:val="00383E1A"/>
    <w:rsid w:val="00384A0F"/>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415"/>
    <w:rsid w:val="003A0602"/>
    <w:rsid w:val="003A12F8"/>
    <w:rsid w:val="003A1569"/>
    <w:rsid w:val="003A16CA"/>
    <w:rsid w:val="003A1BC0"/>
    <w:rsid w:val="003A372E"/>
    <w:rsid w:val="003A39B1"/>
    <w:rsid w:val="003A411C"/>
    <w:rsid w:val="003A5076"/>
    <w:rsid w:val="003A5234"/>
    <w:rsid w:val="003A530D"/>
    <w:rsid w:val="003A5DA4"/>
    <w:rsid w:val="003A7CBD"/>
    <w:rsid w:val="003B016E"/>
    <w:rsid w:val="003B06DD"/>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B06"/>
    <w:rsid w:val="003C0CA1"/>
    <w:rsid w:val="003C1762"/>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82F"/>
    <w:rsid w:val="003D1C42"/>
    <w:rsid w:val="003D1E94"/>
    <w:rsid w:val="003D30AE"/>
    <w:rsid w:val="003D36F3"/>
    <w:rsid w:val="003D3EC7"/>
    <w:rsid w:val="003D3F0E"/>
    <w:rsid w:val="003D622D"/>
    <w:rsid w:val="003D67A2"/>
    <w:rsid w:val="003D722E"/>
    <w:rsid w:val="003D7AF6"/>
    <w:rsid w:val="003E08FD"/>
    <w:rsid w:val="003E1EF2"/>
    <w:rsid w:val="003E2844"/>
    <w:rsid w:val="003E2E5E"/>
    <w:rsid w:val="003E3254"/>
    <w:rsid w:val="003E49DE"/>
    <w:rsid w:val="003E4E9B"/>
    <w:rsid w:val="003E53F4"/>
    <w:rsid w:val="003E5F0C"/>
    <w:rsid w:val="003E624D"/>
    <w:rsid w:val="003E62FB"/>
    <w:rsid w:val="003E71E5"/>
    <w:rsid w:val="003F0C35"/>
    <w:rsid w:val="003F0EA1"/>
    <w:rsid w:val="003F14E4"/>
    <w:rsid w:val="003F195C"/>
    <w:rsid w:val="003F22CC"/>
    <w:rsid w:val="003F2431"/>
    <w:rsid w:val="003F26DD"/>
    <w:rsid w:val="003F403B"/>
    <w:rsid w:val="003F6636"/>
    <w:rsid w:val="003F73E7"/>
    <w:rsid w:val="004014FC"/>
    <w:rsid w:val="00401622"/>
    <w:rsid w:val="00401643"/>
    <w:rsid w:val="00401C68"/>
    <w:rsid w:val="0040219E"/>
    <w:rsid w:val="004022CB"/>
    <w:rsid w:val="00402654"/>
    <w:rsid w:val="00402EEA"/>
    <w:rsid w:val="00403397"/>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174"/>
    <w:rsid w:val="004219F8"/>
    <w:rsid w:val="00422E23"/>
    <w:rsid w:val="0042324D"/>
    <w:rsid w:val="00424342"/>
    <w:rsid w:val="00424C95"/>
    <w:rsid w:val="00425499"/>
    <w:rsid w:val="00425A95"/>
    <w:rsid w:val="00425E55"/>
    <w:rsid w:val="004278C2"/>
    <w:rsid w:val="004300E5"/>
    <w:rsid w:val="00430C09"/>
    <w:rsid w:val="00431042"/>
    <w:rsid w:val="004310A3"/>
    <w:rsid w:val="00431AC9"/>
    <w:rsid w:val="00431B53"/>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6BF"/>
    <w:rsid w:val="0044673B"/>
    <w:rsid w:val="00446C1D"/>
    <w:rsid w:val="00446C90"/>
    <w:rsid w:val="0044777D"/>
    <w:rsid w:val="004500BC"/>
    <w:rsid w:val="00450685"/>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086"/>
    <w:rsid w:val="004629B8"/>
    <w:rsid w:val="00462EB2"/>
    <w:rsid w:val="004639A8"/>
    <w:rsid w:val="004652AA"/>
    <w:rsid w:val="00465ED0"/>
    <w:rsid w:val="00467258"/>
    <w:rsid w:val="00467EC2"/>
    <w:rsid w:val="004701EC"/>
    <w:rsid w:val="004708E8"/>
    <w:rsid w:val="00471402"/>
    <w:rsid w:val="00471DD1"/>
    <w:rsid w:val="00471F1F"/>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472D"/>
    <w:rsid w:val="00485A1A"/>
    <w:rsid w:val="00485A7A"/>
    <w:rsid w:val="0048659D"/>
    <w:rsid w:val="00486786"/>
    <w:rsid w:val="0048738F"/>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A08"/>
    <w:rsid w:val="004975B2"/>
    <w:rsid w:val="004A04B1"/>
    <w:rsid w:val="004A12FC"/>
    <w:rsid w:val="004A21EA"/>
    <w:rsid w:val="004A2358"/>
    <w:rsid w:val="004A36C9"/>
    <w:rsid w:val="004A3A86"/>
    <w:rsid w:val="004A3FEC"/>
    <w:rsid w:val="004A4095"/>
    <w:rsid w:val="004A5016"/>
    <w:rsid w:val="004A551A"/>
    <w:rsid w:val="004A5CD2"/>
    <w:rsid w:val="004A62C1"/>
    <w:rsid w:val="004A6396"/>
    <w:rsid w:val="004A66E6"/>
    <w:rsid w:val="004A6AB1"/>
    <w:rsid w:val="004A7366"/>
    <w:rsid w:val="004A7C38"/>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933"/>
    <w:rsid w:val="004D4B57"/>
    <w:rsid w:val="004D5EF2"/>
    <w:rsid w:val="004D7AA7"/>
    <w:rsid w:val="004D7D1A"/>
    <w:rsid w:val="004E0336"/>
    <w:rsid w:val="004E07E9"/>
    <w:rsid w:val="004E0EA4"/>
    <w:rsid w:val="004E105E"/>
    <w:rsid w:val="004E10DB"/>
    <w:rsid w:val="004E1D71"/>
    <w:rsid w:val="004E235D"/>
    <w:rsid w:val="004E258F"/>
    <w:rsid w:val="004E2DDD"/>
    <w:rsid w:val="004E2F6C"/>
    <w:rsid w:val="004E3817"/>
    <w:rsid w:val="004E4065"/>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5FE6"/>
    <w:rsid w:val="004F721E"/>
    <w:rsid w:val="004F7FE5"/>
    <w:rsid w:val="00501738"/>
    <w:rsid w:val="0050213E"/>
    <w:rsid w:val="0050216E"/>
    <w:rsid w:val="00502294"/>
    <w:rsid w:val="00502422"/>
    <w:rsid w:val="005026EC"/>
    <w:rsid w:val="00502BC6"/>
    <w:rsid w:val="00505AC0"/>
    <w:rsid w:val="005069FF"/>
    <w:rsid w:val="00506F7B"/>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22B"/>
    <w:rsid w:val="00523907"/>
    <w:rsid w:val="00525E21"/>
    <w:rsid w:val="0052659A"/>
    <w:rsid w:val="0052767E"/>
    <w:rsid w:val="00530066"/>
    <w:rsid w:val="005302C7"/>
    <w:rsid w:val="00530929"/>
    <w:rsid w:val="0053147C"/>
    <w:rsid w:val="00532949"/>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46A"/>
    <w:rsid w:val="005437AC"/>
    <w:rsid w:val="00543F14"/>
    <w:rsid w:val="005453A8"/>
    <w:rsid w:val="00545FAC"/>
    <w:rsid w:val="00545FBD"/>
    <w:rsid w:val="005462BE"/>
    <w:rsid w:val="00547170"/>
    <w:rsid w:val="00547BF8"/>
    <w:rsid w:val="00550530"/>
    <w:rsid w:val="0055085B"/>
    <w:rsid w:val="00550B11"/>
    <w:rsid w:val="005524AF"/>
    <w:rsid w:val="00552805"/>
    <w:rsid w:val="00552A20"/>
    <w:rsid w:val="00552ADE"/>
    <w:rsid w:val="0055358B"/>
    <w:rsid w:val="005539C4"/>
    <w:rsid w:val="00553D20"/>
    <w:rsid w:val="0055413C"/>
    <w:rsid w:val="00554A0D"/>
    <w:rsid w:val="00554D4E"/>
    <w:rsid w:val="00555D17"/>
    <w:rsid w:val="00556DCD"/>
    <w:rsid w:val="00557EDA"/>
    <w:rsid w:val="00560D29"/>
    <w:rsid w:val="00560DB8"/>
    <w:rsid w:val="0056261C"/>
    <w:rsid w:val="0056287E"/>
    <w:rsid w:val="005664E0"/>
    <w:rsid w:val="00566658"/>
    <w:rsid w:val="00567784"/>
    <w:rsid w:val="00570402"/>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0E3A"/>
    <w:rsid w:val="00591B5A"/>
    <w:rsid w:val="00591DB3"/>
    <w:rsid w:val="005922A9"/>
    <w:rsid w:val="00592E0A"/>
    <w:rsid w:val="00593149"/>
    <w:rsid w:val="005937BF"/>
    <w:rsid w:val="00595031"/>
    <w:rsid w:val="00595286"/>
    <w:rsid w:val="00595287"/>
    <w:rsid w:val="005A0309"/>
    <w:rsid w:val="005A05FA"/>
    <w:rsid w:val="005A0D27"/>
    <w:rsid w:val="005A0E8D"/>
    <w:rsid w:val="005A15C6"/>
    <w:rsid w:val="005A1F8F"/>
    <w:rsid w:val="005A24A1"/>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B7D5F"/>
    <w:rsid w:val="005C1747"/>
    <w:rsid w:val="005C267F"/>
    <w:rsid w:val="005C28D7"/>
    <w:rsid w:val="005C2CE2"/>
    <w:rsid w:val="005C3679"/>
    <w:rsid w:val="005C3978"/>
    <w:rsid w:val="005C3A39"/>
    <w:rsid w:val="005C5255"/>
    <w:rsid w:val="005C547E"/>
    <w:rsid w:val="005C5E75"/>
    <w:rsid w:val="005C689A"/>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76"/>
    <w:rsid w:val="005D5196"/>
    <w:rsid w:val="005D54E1"/>
    <w:rsid w:val="005D6BB2"/>
    <w:rsid w:val="005D7C73"/>
    <w:rsid w:val="005E07A2"/>
    <w:rsid w:val="005E164C"/>
    <w:rsid w:val="005E1724"/>
    <w:rsid w:val="005E1897"/>
    <w:rsid w:val="005E35DD"/>
    <w:rsid w:val="005E4078"/>
    <w:rsid w:val="005E41E6"/>
    <w:rsid w:val="005E45E9"/>
    <w:rsid w:val="005E4848"/>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4604"/>
    <w:rsid w:val="005F5280"/>
    <w:rsid w:val="005F5593"/>
    <w:rsid w:val="005F61DC"/>
    <w:rsid w:val="005F65D2"/>
    <w:rsid w:val="005F6918"/>
    <w:rsid w:val="005F6C4F"/>
    <w:rsid w:val="005F6D93"/>
    <w:rsid w:val="005F7FE9"/>
    <w:rsid w:val="0060138E"/>
    <w:rsid w:val="006037A1"/>
    <w:rsid w:val="00603836"/>
    <w:rsid w:val="00603F74"/>
    <w:rsid w:val="006048C9"/>
    <w:rsid w:val="00604AD6"/>
    <w:rsid w:val="00607048"/>
    <w:rsid w:val="0060716D"/>
    <w:rsid w:val="00607903"/>
    <w:rsid w:val="00607B07"/>
    <w:rsid w:val="00607CD1"/>
    <w:rsid w:val="0061018C"/>
    <w:rsid w:val="00611110"/>
    <w:rsid w:val="0061223E"/>
    <w:rsid w:val="006123EC"/>
    <w:rsid w:val="00613B91"/>
    <w:rsid w:val="00613FA1"/>
    <w:rsid w:val="0061498D"/>
    <w:rsid w:val="00614C47"/>
    <w:rsid w:val="00615178"/>
    <w:rsid w:val="00616AF1"/>
    <w:rsid w:val="00616D83"/>
    <w:rsid w:val="006179A3"/>
    <w:rsid w:val="00620A7D"/>
    <w:rsid w:val="00620F86"/>
    <w:rsid w:val="006222DC"/>
    <w:rsid w:val="0062236E"/>
    <w:rsid w:val="00622F51"/>
    <w:rsid w:val="006235FD"/>
    <w:rsid w:val="0062414A"/>
    <w:rsid w:val="00625BB7"/>
    <w:rsid w:val="006263EC"/>
    <w:rsid w:val="006269E9"/>
    <w:rsid w:val="0062748A"/>
    <w:rsid w:val="00627CE4"/>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065"/>
    <w:rsid w:val="00641667"/>
    <w:rsid w:val="00641CD7"/>
    <w:rsid w:val="00642C50"/>
    <w:rsid w:val="0064339B"/>
    <w:rsid w:val="00644BBB"/>
    <w:rsid w:val="0064511A"/>
    <w:rsid w:val="00645123"/>
    <w:rsid w:val="0064526A"/>
    <w:rsid w:val="00645295"/>
    <w:rsid w:val="0064534C"/>
    <w:rsid w:val="0064538C"/>
    <w:rsid w:val="00645FE7"/>
    <w:rsid w:val="00646472"/>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0A63"/>
    <w:rsid w:val="006614C9"/>
    <w:rsid w:val="006628B4"/>
    <w:rsid w:val="006628D6"/>
    <w:rsid w:val="00663089"/>
    <w:rsid w:val="006630D8"/>
    <w:rsid w:val="00663201"/>
    <w:rsid w:val="0066489B"/>
    <w:rsid w:val="00664FBD"/>
    <w:rsid w:val="006650F3"/>
    <w:rsid w:val="00665815"/>
    <w:rsid w:val="00665BB5"/>
    <w:rsid w:val="006662C4"/>
    <w:rsid w:val="006665D8"/>
    <w:rsid w:val="00667656"/>
    <w:rsid w:val="00667E9B"/>
    <w:rsid w:val="00670C87"/>
    <w:rsid w:val="006711D0"/>
    <w:rsid w:val="00672E0E"/>
    <w:rsid w:val="00672FFD"/>
    <w:rsid w:val="006736E9"/>
    <w:rsid w:val="0067398C"/>
    <w:rsid w:val="00673C84"/>
    <w:rsid w:val="00674372"/>
    <w:rsid w:val="00677004"/>
    <w:rsid w:val="0068012E"/>
    <w:rsid w:val="00680BB4"/>
    <w:rsid w:val="00682CCD"/>
    <w:rsid w:val="00683738"/>
    <w:rsid w:val="00684312"/>
    <w:rsid w:val="006846EA"/>
    <w:rsid w:val="00685527"/>
    <w:rsid w:val="006864DF"/>
    <w:rsid w:val="006868B4"/>
    <w:rsid w:val="00686C46"/>
    <w:rsid w:val="00687056"/>
    <w:rsid w:val="0068755E"/>
    <w:rsid w:val="006877A4"/>
    <w:rsid w:val="006900BF"/>
    <w:rsid w:val="0069108B"/>
    <w:rsid w:val="00692318"/>
    <w:rsid w:val="006928F2"/>
    <w:rsid w:val="00693151"/>
    <w:rsid w:val="006933F6"/>
    <w:rsid w:val="00693667"/>
    <w:rsid w:val="00693A25"/>
    <w:rsid w:val="00693C6C"/>
    <w:rsid w:val="00693E48"/>
    <w:rsid w:val="00694865"/>
    <w:rsid w:val="00695A38"/>
    <w:rsid w:val="00695B92"/>
    <w:rsid w:val="0069609F"/>
    <w:rsid w:val="00697165"/>
    <w:rsid w:val="006A0A28"/>
    <w:rsid w:val="006A117C"/>
    <w:rsid w:val="006A1549"/>
    <w:rsid w:val="006A1B7D"/>
    <w:rsid w:val="006A236F"/>
    <w:rsid w:val="006A2A94"/>
    <w:rsid w:val="006A2E48"/>
    <w:rsid w:val="006A3184"/>
    <w:rsid w:val="006A35E2"/>
    <w:rsid w:val="006A37BB"/>
    <w:rsid w:val="006A38F7"/>
    <w:rsid w:val="006A43BE"/>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3BE5"/>
    <w:rsid w:val="006C41B0"/>
    <w:rsid w:val="006C440F"/>
    <w:rsid w:val="006C5A8C"/>
    <w:rsid w:val="006C5DAC"/>
    <w:rsid w:val="006C6539"/>
    <w:rsid w:val="006C67DF"/>
    <w:rsid w:val="006C7F0D"/>
    <w:rsid w:val="006D002C"/>
    <w:rsid w:val="006D05B4"/>
    <w:rsid w:val="006D0630"/>
    <w:rsid w:val="006D0E78"/>
    <w:rsid w:val="006D1C74"/>
    <w:rsid w:val="006D1E31"/>
    <w:rsid w:val="006D207B"/>
    <w:rsid w:val="006D23BC"/>
    <w:rsid w:val="006D2F88"/>
    <w:rsid w:val="006D302D"/>
    <w:rsid w:val="006D38E0"/>
    <w:rsid w:val="006D3AB1"/>
    <w:rsid w:val="006D3C29"/>
    <w:rsid w:val="006D3E00"/>
    <w:rsid w:val="006D3F40"/>
    <w:rsid w:val="006D49A0"/>
    <w:rsid w:val="006D4F8C"/>
    <w:rsid w:val="006D53DF"/>
    <w:rsid w:val="006D54F3"/>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0328"/>
    <w:rsid w:val="006F10EC"/>
    <w:rsid w:val="006F1749"/>
    <w:rsid w:val="006F21D3"/>
    <w:rsid w:val="006F2BED"/>
    <w:rsid w:val="006F3E3F"/>
    <w:rsid w:val="006F44DE"/>
    <w:rsid w:val="006F4BF4"/>
    <w:rsid w:val="006F5D98"/>
    <w:rsid w:val="006F6578"/>
    <w:rsid w:val="006F7BF8"/>
    <w:rsid w:val="007007D3"/>
    <w:rsid w:val="00700F6A"/>
    <w:rsid w:val="0070113B"/>
    <w:rsid w:val="007014B9"/>
    <w:rsid w:val="007015C4"/>
    <w:rsid w:val="007017EA"/>
    <w:rsid w:val="0070257B"/>
    <w:rsid w:val="00702C8A"/>
    <w:rsid w:val="00703611"/>
    <w:rsid w:val="0070393C"/>
    <w:rsid w:val="00704C8D"/>
    <w:rsid w:val="007058B5"/>
    <w:rsid w:val="00705BC2"/>
    <w:rsid w:val="00705C4A"/>
    <w:rsid w:val="00706649"/>
    <w:rsid w:val="00707668"/>
    <w:rsid w:val="00707D85"/>
    <w:rsid w:val="00710AF1"/>
    <w:rsid w:val="00711839"/>
    <w:rsid w:val="00711D08"/>
    <w:rsid w:val="00712020"/>
    <w:rsid w:val="00712540"/>
    <w:rsid w:val="0071419C"/>
    <w:rsid w:val="00715699"/>
    <w:rsid w:val="0071626E"/>
    <w:rsid w:val="00716882"/>
    <w:rsid w:val="00717A10"/>
    <w:rsid w:val="00717F62"/>
    <w:rsid w:val="00721D75"/>
    <w:rsid w:val="00721DF8"/>
    <w:rsid w:val="00721EBF"/>
    <w:rsid w:val="007220FD"/>
    <w:rsid w:val="007228A7"/>
    <w:rsid w:val="0072322A"/>
    <w:rsid w:val="00723527"/>
    <w:rsid w:val="00724982"/>
    <w:rsid w:val="007255AD"/>
    <w:rsid w:val="007258CD"/>
    <w:rsid w:val="007258E6"/>
    <w:rsid w:val="0072628A"/>
    <w:rsid w:val="007263D9"/>
    <w:rsid w:val="00726426"/>
    <w:rsid w:val="00726CD2"/>
    <w:rsid w:val="007275F7"/>
    <w:rsid w:val="00727B4C"/>
    <w:rsid w:val="007304F6"/>
    <w:rsid w:val="007306C2"/>
    <w:rsid w:val="00731121"/>
    <w:rsid w:val="0073163B"/>
    <w:rsid w:val="00731CF6"/>
    <w:rsid w:val="00731EA4"/>
    <w:rsid w:val="007327FF"/>
    <w:rsid w:val="007334F8"/>
    <w:rsid w:val="00734609"/>
    <w:rsid w:val="00734CF8"/>
    <w:rsid w:val="00734EEF"/>
    <w:rsid w:val="00735892"/>
    <w:rsid w:val="007361C1"/>
    <w:rsid w:val="007366B7"/>
    <w:rsid w:val="007374F6"/>
    <w:rsid w:val="00740DD1"/>
    <w:rsid w:val="007425DA"/>
    <w:rsid w:val="00742C7A"/>
    <w:rsid w:val="00742C7C"/>
    <w:rsid w:val="00743451"/>
    <w:rsid w:val="00743739"/>
    <w:rsid w:val="007448B4"/>
    <w:rsid w:val="00744EB8"/>
    <w:rsid w:val="007453E8"/>
    <w:rsid w:val="00745AC7"/>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5C7"/>
    <w:rsid w:val="00762B1A"/>
    <w:rsid w:val="00762B45"/>
    <w:rsid w:val="00762BBD"/>
    <w:rsid w:val="007633E0"/>
    <w:rsid w:val="00764293"/>
    <w:rsid w:val="00764741"/>
    <w:rsid w:val="00764A27"/>
    <w:rsid w:val="00764EC6"/>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4672"/>
    <w:rsid w:val="00774A3C"/>
    <w:rsid w:val="00775389"/>
    <w:rsid w:val="00776B47"/>
    <w:rsid w:val="007819BE"/>
    <w:rsid w:val="00781AF8"/>
    <w:rsid w:val="00781C3D"/>
    <w:rsid w:val="00782003"/>
    <w:rsid w:val="007823AB"/>
    <w:rsid w:val="00782BD4"/>
    <w:rsid w:val="00782C77"/>
    <w:rsid w:val="007832F7"/>
    <w:rsid w:val="00783A40"/>
    <w:rsid w:val="007846F0"/>
    <w:rsid w:val="007848B9"/>
    <w:rsid w:val="00785CFD"/>
    <w:rsid w:val="00785E9C"/>
    <w:rsid w:val="00786870"/>
    <w:rsid w:val="007874CF"/>
    <w:rsid w:val="00787C00"/>
    <w:rsid w:val="00791310"/>
    <w:rsid w:val="00791363"/>
    <w:rsid w:val="00794A46"/>
    <w:rsid w:val="00794BFA"/>
    <w:rsid w:val="00795477"/>
    <w:rsid w:val="00795873"/>
    <w:rsid w:val="00796678"/>
    <w:rsid w:val="007966FD"/>
    <w:rsid w:val="00796741"/>
    <w:rsid w:val="00796D3B"/>
    <w:rsid w:val="007970D0"/>
    <w:rsid w:val="00797D39"/>
    <w:rsid w:val="00797F95"/>
    <w:rsid w:val="007A048A"/>
    <w:rsid w:val="007A0982"/>
    <w:rsid w:val="007A1578"/>
    <w:rsid w:val="007A2EB6"/>
    <w:rsid w:val="007A33C1"/>
    <w:rsid w:val="007A34CD"/>
    <w:rsid w:val="007A3B07"/>
    <w:rsid w:val="007A4314"/>
    <w:rsid w:val="007A4980"/>
    <w:rsid w:val="007A4ADC"/>
    <w:rsid w:val="007A689C"/>
    <w:rsid w:val="007A7732"/>
    <w:rsid w:val="007B010A"/>
    <w:rsid w:val="007B0282"/>
    <w:rsid w:val="007B0691"/>
    <w:rsid w:val="007B0C5D"/>
    <w:rsid w:val="007B11BC"/>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8E4"/>
    <w:rsid w:val="007C1A1C"/>
    <w:rsid w:val="007C2475"/>
    <w:rsid w:val="007C24AA"/>
    <w:rsid w:val="007C2690"/>
    <w:rsid w:val="007C2FFB"/>
    <w:rsid w:val="007C3C3A"/>
    <w:rsid w:val="007C3FE5"/>
    <w:rsid w:val="007C5058"/>
    <w:rsid w:val="007C5D46"/>
    <w:rsid w:val="007C6086"/>
    <w:rsid w:val="007C626A"/>
    <w:rsid w:val="007C657A"/>
    <w:rsid w:val="007C748D"/>
    <w:rsid w:val="007D0164"/>
    <w:rsid w:val="007D037A"/>
    <w:rsid w:val="007D15E3"/>
    <w:rsid w:val="007D1B3B"/>
    <w:rsid w:val="007D2B49"/>
    <w:rsid w:val="007D2FDA"/>
    <w:rsid w:val="007D3C32"/>
    <w:rsid w:val="007D3E14"/>
    <w:rsid w:val="007D6B86"/>
    <w:rsid w:val="007D6D8E"/>
    <w:rsid w:val="007D73E8"/>
    <w:rsid w:val="007D7A38"/>
    <w:rsid w:val="007E004C"/>
    <w:rsid w:val="007E0548"/>
    <w:rsid w:val="007E0A6F"/>
    <w:rsid w:val="007E0B10"/>
    <w:rsid w:val="007E154F"/>
    <w:rsid w:val="007E1708"/>
    <w:rsid w:val="007E407D"/>
    <w:rsid w:val="007E65D1"/>
    <w:rsid w:val="007E6884"/>
    <w:rsid w:val="007E7107"/>
    <w:rsid w:val="007E7316"/>
    <w:rsid w:val="007E7DE6"/>
    <w:rsid w:val="007F09E3"/>
    <w:rsid w:val="007F0A63"/>
    <w:rsid w:val="007F1256"/>
    <w:rsid w:val="007F22B6"/>
    <w:rsid w:val="007F2B19"/>
    <w:rsid w:val="007F2B89"/>
    <w:rsid w:val="007F2ED0"/>
    <w:rsid w:val="007F38E1"/>
    <w:rsid w:val="007F405B"/>
    <w:rsid w:val="007F4469"/>
    <w:rsid w:val="007F5180"/>
    <w:rsid w:val="007F5AF2"/>
    <w:rsid w:val="007F69C3"/>
    <w:rsid w:val="007F6E4A"/>
    <w:rsid w:val="007F7381"/>
    <w:rsid w:val="007F7A53"/>
    <w:rsid w:val="007F7BDE"/>
    <w:rsid w:val="007F7F44"/>
    <w:rsid w:val="0080035A"/>
    <w:rsid w:val="00800A1D"/>
    <w:rsid w:val="00800D45"/>
    <w:rsid w:val="00801113"/>
    <w:rsid w:val="008018A0"/>
    <w:rsid w:val="00802FE5"/>
    <w:rsid w:val="00804C11"/>
    <w:rsid w:val="00805228"/>
    <w:rsid w:val="008054FC"/>
    <w:rsid w:val="0080635E"/>
    <w:rsid w:val="008069C3"/>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2F8A"/>
    <w:rsid w:val="00823351"/>
    <w:rsid w:val="008236DD"/>
    <w:rsid w:val="00823CDE"/>
    <w:rsid w:val="00824BFD"/>
    <w:rsid w:val="0082733A"/>
    <w:rsid w:val="008276D6"/>
    <w:rsid w:val="00827F99"/>
    <w:rsid w:val="00832230"/>
    <w:rsid w:val="00832D31"/>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05"/>
    <w:rsid w:val="00851F56"/>
    <w:rsid w:val="00851FF5"/>
    <w:rsid w:val="00853245"/>
    <w:rsid w:val="0085387C"/>
    <w:rsid w:val="0086034A"/>
    <w:rsid w:val="00862C5C"/>
    <w:rsid w:val="0086319F"/>
    <w:rsid w:val="008631E1"/>
    <w:rsid w:val="0086388F"/>
    <w:rsid w:val="00864127"/>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C4C"/>
    <w:rsid w:val="00887C14"/>
    <w:rsid w:val="00890194"/>
    <w:rsid w:val="008905B8"/>
    <w:rsid w:val="0089150D"/>
    <w:rsid w:val="00891798"/>
    <w:rsid w:val="00891CCD"/>
    <w:rsid w:val="00891EAB"/>
    <w:rsid w:val="00892955"/>
    <w:rsid w:val="00892F89"/>
    <w:rsid w:val="00893BFA"/>
    <w:rsid w:val="00895A0F"/>
    <w:rsid w:val="00895F70"/>
    <w:rsid w:val="008963DD"/>
    <w:rsid w:val="0089686B"/>
    <w:rsid w:val="00897267"/>
    <w:rsid w:val="0089728D"/>
    <w:rsid w:val="00897586"/>
    <w:rsid w:val="00897818"/>
    <w:rsid w:val="008A0337"/>
    <w:rsid w:val="008A13A1"/>
    <w:rsid w:val="008A17BF"/>
    <w:rsid w:val="008A1C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46FF"/>
    <w:rsid w:val="008B4CFE"/>
    <w:rsid w:val="008B4D36"/>
    <w:rsid w:val="008B58B2"/>
    <w:rsid w:val="008B5ED8"/>
    <w:rsid w:val="008B6628"/>
    <w:rsid w:val="008B75CD"/>
    <w:rsid w:val="008B78DD"/>
    <w:rsid w:val="008C0761"/>
    <w:rsid w:val="008C0762"/>
    <w:rsid w:val="008C1D73"/>
    <w:rsid w:val="008C25E9"/>
    <w:rsid w:val="008C2B29"/>
    <w:rsid w:val="008C3617"/>
    <w:rsid w:val="008C495D"/>
    <w:rsid w:val="008C5F9D"/>
    <w:rsid w:val="008C6134"/>
    <w:rsid w:val="008C6A60"/>
    <w:rsid w:val="008C7374"/>
    <w:rsid w:val="008C79E4"/>
    <w:rsid w:val="008C7EC8"/>
    <w:rsid w:val="008D0249"/>
    <w:rsid w:val="008D06AE"/>
    <w:rsid w:val="008D0855"/>
    <w:rsid w:val="008D1633"/>
    <w:rsid w:val="008D184F"/>
    <w:rsid w:val="008D1D56"/>
    <w:rsid w:val="008D1F3C"/>
    <w:rsid w:val="008D25AF"/>
    <w:rsid w:val="008D262A"/>
    <w:rsid w:val="008D3785"/>
    <w:rsid w:val="008D4CEE"/>
    <w:rsid w:val="008D65FC"/>
    <w:rsid w:val="008D6C0B"/>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267F"/>
    <w:rsid w:val="008F2C52"/>
    <w:rsid w:val="008F3005"/>
    <w:rsid w:val="008F40C7"/>
    <w:rsid w:val="008F4A55"/>
    <w:rsid w:val="008F4ED6"/>
    <w:rsid w:val="008F52EC"/>
    <w:rsid w:val="008F663E"/>
    <w:rsid w:val="008F6F40"/>
    <w:rsid w:val="008F7146"/>
    <w:rsid w:val="008F720E"/>
    <w:rsid w:val="008F76FD"/>
    <w:rsid w:val="008F7E49"/>
    <w:rsid w:val="008F7F38"/>
    <w:rsid w:val="00900089"/>
    <w:rsid w:val="00900807"/>
    <w:rsid w:val="00901656"/>
    <w:rsid w:val="00901DC5"/>
    <w:rsid w:val="009030EF"/>
    <w:rsid w:val="00903764"/>
    <w:rsid w:val="0090397D"/>
    <w:rsid w:val="00903B76"/>
    <w:rsid w:val="00903FA6"/>
    <w:rsid w:val="009042AC"/>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B72"/>
    <w:rsid w:val="00923F53"/>
    <w:rsid w:val="00924573"/>
    <w:rsid w:val="00924581"/>
    <w:rsid w:val="0092468D"/>
    <w:rsid w:val="00924690"/>
    <w:rsid w:val="00924801"/>
    <w:rsid w:val="00924A27"/>
    <w:rsid w:val="00926466"/>
    <w:rsid w:val="00926607"/>
    <w:rsid w:val="00926DB6"/>
    <w:rsid w:val="00930A68"/>
    <w:rsid w:val="00930A84"/>
    <w:rsid w:val="00932664"/>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22C4"/>
    <w:rsid w:val="00943E0E"/>
    <w:rsid w:val="00944B03"/>
    <w:rsid w:val="00944FDE"/>
    <w:rsid w:val="0094505C"/>
    <w:rsid w:val="009452A6"/>
    <w:rsid w:val="00945536"/>
    <w:rsid w:val="00945F98"/>
    <w:rsid w:val="0094620A"/>
    <w:rsid w:val="00946588"/>
    <w:rsid w:val="00946C1A"/>
    <w:rsid w:val="00947B1E"/>
    <w:rsid w:val="00950151"/>
    <w:rsid w:val="00952C0D"/>
    <w:rsid w:val="00952E73"/>
    <w:rsid w:val="00952F5B"/>
    <w:rsid w:val="00953054"/>
    <w:rsid w:val="00953665"/>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6A8F"/>
    <w:rsid w:val="00967550"/>
    <w:rsid w:val="009701E0"/>
    <w:rsid w:val="00970EEA"/>
    <w:rsid w:val="0097158A"/>
    <w:rsid w:val="009716FA"/>
    <w:rsid w:val="00971A1F"/>
    <w:rsid w:val="00971B5E"/>
    <w:rsid w:val="00973464"/>
    <w:rsid w:val="00974058"/>
    <w:rsid w:val="0097466B"/>
    <w:rsid w:val="00974D7F"/>
    <w:rsid w:val="009752A8"/>
    <w:rsid w:val="0097573A"/>
    <w:rsid w:val="00976231"/>
    <w:rsid w:val="00976479"/>
    <w:rsid w:val="00977AE0"/>
    <w:rsid w:val="009800DB"/>
    <w:rsid w:val="0098094E"/>
    <w:rsid w:val="00981498"/>
    <w:rsid w:val="00981528"/>
    <w:rsid w:val="00982045"/>
    <w:rsid w:val="009828ED"/>
    <w:rsid w:val="0098466A"/>
    <w:rsid w:val="009857B5"/>
    <w:rsid w:val="00985B83"/>
    <w:rsid w:val="00986B97"/>
    <w:rsid w:val="00987513"/>
    <w:rsid w:val="00987AF6"/>
    <w:rsid w:val="00990372"/>
    <w:rsid w:val="009912BD"/>
    <w:rsid w:val="00992BF9"/>
    <w:rsid w:val="00992CEF"/>
    <w:rsid w:val="00993671"/>
    <w:rsid w:val="00993823"/>
    <w:rsid w:val="00993B16"/>
    <w:rsid w:val="00994118"/>
    <w:rsid w:val="00994AF2"/>
    <w:rsid w:val="00995F22"/>
    <w:rsid w:val="0099666B"/>
    <w:rsid w:val="009A03EF"/>
    <w:rsid w:val="009A1432"/>
    <w:rsid w:val="009A1D4D"/>
    <w:rsid w:val="009A1E91"/>
    <w:rsid w:val="009A1F7C"/>
    <w:rsid w:val="009A21CA"/>
    <w:rsid w:val="009A3780"/>
    <w:rsid w:val="009A4584"/>
    <w:rsid w:val="009A4F28"/>
    <w:rsid w:val="009A5002"/>
    <w:rsid w:val="009A64AD"/>
    <w:rsid w:val="009A7801"/>
    <w:rsid w:val="009A7A14"/>
    <w:rsid w:val="009B02A9"/>
    <w:rsid w:val="009B1069"/>
    <w:rsid w:val="009B1120"/>
    <w:rsid w:val="009B1149"/>
    <w:rsid w:val="009B17BC"/>
    <w:rsid w:val="009B1DD5"/>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5A0F"/>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45AD"/>
    <w:rsid w:val="009E7446"/>
    <w:rsid w:val="009F0512"/>
    <w:rsid w:val="009F1A53"/>
    <w:rsid w:val="009F1F0B"/>
    <w:rsid w:val="009F2081"/>
    <w:rsid w:val="009F3AB4"/>
    <w:rsid w:val="009F3B17"/>
    <w:rsid w:val="009F3EA0"/>
    <w:rsid w:val="009F3F80"/>
    <w:rsid w:val="009F4A7B"/>
    <w:rsid w:val="009F5346"/>
    <w:rsid w:val="009F5418"/>
    <w:rsid w:val="009F5631"/>
    <w:rsid w:val="009F5E94"/>
    <w:rsid w:val="009F69A7"/>
    <w:rsid w:val="009F6AEA"/>
    <w:rsid w:val="009F6F5F"/>
    <w:rsid w:val="009F7081"/>
    <w:rsid w:val="009F7B49"/>
    <w:rsid w:val="009F7BBB"/>
    <w:rsid w:val="009F7DAD"/>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46C"/>
    <w:rsid w:val="00A22500"/>
    <w:rsid w:val="00A231DD"/>
    <w:rsid w:val="00A23941"/>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71C"/>
    <w:rsid w:val="00A50104"/>
    <w:rsid w:val="00A5163E"/>
    <w:rsid w:val="00A5188F"/>
    <w:rsid w:val="00A51A45"/>
    <w:rsid w:val="00A529E3"/>
    <w:rsid w:val="00A52CB7"/>
    <w:rsid w:val="00A55841"/>
    <w:rsid w:val="00A55B7E"/>
    <w:rsid w:val="00A55DAD"/>
    <w:rsid w:val="00A56BC1"/>
    <w:rsid w:val="00A57032"/>
    <w:rsid w:val="00A5720F"/>
    <w:rsid w:val="00A5777E"/>
    <w:rsid w:val="00A57C55"/>
    <w:rsid w:val="00A60C2F"/>
    <w:rsid w:val="00A60D5F"/>
    <w:rsid w:val="00A6212E"/>
    <w:rsid w:val="00A621D0"/>
    <w:rsid w:val="00A63FB8"/>
    <w:rsid w:val="00A641EA"/>
    <w:rsid w:val="00A64B36"/>
    <w:rsid w:val="00A64ED2"/>
    <w:rsid w:val="00A65202"/>
    <w:rsid w:val="00A65273"/>
    <w:rsid w:val="00A66E5D"/>
    <w:rsid w:val="00A67415"/>
    <w:rsid w:val="00A675E8"/>
    <w:rsid w:val="00A67875"/>
    <w:rsid w:val="00A702A6"/>
    <w:rsid w:val="00A702EF"/>
    <w:rsid w:val="00A713C4"/>
    <w:rsid w:val="00A71BF4"/>
    <w:rsid w:val="00A723F2"/>
    <w:rsid w:val="00A724A7"/>
    <w:rsid w:val="00A7270B"/>
    <w:rsid w:val="00A727F9"/>
    <w:rsid w:val="00A739F8"/>
    <w:rsid w:val="00A73A65"/>
    <w:rsid w:val="00A7402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B17"/>
    <w:rsid w:val="00A87D70"/>
    <w:rsid w:val="00A90212"/>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14F"/>
    <w:rsid w:val="00AB58F3"/>
    <w:rsid w:val="00AB5E52"/>
    <w:rsid w:val="00AB6260"/>
    <w:rsid w:val="00AB7519"/>
    <w:rsid w:val="00AB7B1A"/>
    <w:rsid w:val="00AC0AF4"/>
    <w:rsid w:val="00AC0FAB"/>
    <w:rsid w:val="00AC1FBE"/>
    <w:rsid w:val="00AC200C"/>
    <w:rsid w:val="00AC2833"/>
    <w:rsid w:val="00AC3BDA"/>
    <w:rsid w:val="00AC49FC"/>
    <w:rsid w:val="00AC4E0D"/>
    <w:rsid w:val="00AC56E0"/>
    <w:rsid w:val="00AC7F6D"/>
    <w:rsid w:val="00AD02DA"/>
    <w:rsid w:val="00AD0793"/>
    <w:rsid w:val="00AD0D51"/>
    <w:rsid w:val="00AD0FB6"/>
    <w:rsid w:val="00AD20C7"/>
    <w:rsid w:val="00AD2285"/>
    <w:rsid w:val="00AD2821"/>
    <w:rsid w:val="00AD3A04"/>
    <w:rsid w:val="00AD42AF"/>
    <w:rsid w:val="00AD4E1A"/>
    <w:rsid w:val="00AD530A"/>
    <w:rsid w:val="00AD6604"/>
    <w:rsid w:val="00AD6C29"/>
    <w:rsid w:val="00AD6F57"/>
    <w:rsid w:val="00AD7A50"/>
    <w:rsid w:val="00AE0F17"/>
    <w:rsid w:val="00AE1219"/>
    <w:rsid w:val="00AE2697"/>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5EB2"/>
    <w:rsid w:val="00AF6307"/>
    <w:rsid w:val="00AF7388"/>
    <w:rsid w:val="00AF74F0"/>
    <w:rsid w:val="00B000CD"/>
    <w:rsid w:val="00B00850"/>
    <w:rsid w:val="00B00FFB"/>
    <w:rsid w:val="00B01382"/>
    <w:rsid w:val="00B01A58"/>
    <w:rsid w:val="00B0284F"/>
    <w:rsid w:val="00B02EF2"/>
    <w:rsid w:val="00B0440A"/>
    <w:rsid w:val="00B04E47"/>
    <w:rsid w:val="00B0528A"/>
    <w:rsid w:val="00B060AA"/>
    <w:rsid w:val="00B07734"/>
    <w:rsid w:val="00B07742"/>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157"/>
    <w:rsid w:val="00B23C12"/>
    <w:rsid w:val="00B24070"/>
    <w:rsid w:val="00B24B0A"/>
    <w:rsid w:val="00B2566E"/>
    <w:rsid w:val="00B25CCD"/>
    <w:rsid w:val="00B26ED0"/>
    <w:rsid w:val="00B270B0"/>
    <w:rsid w:val="00B27955"/>
    <w:rsid w:val="00B30012"/>
    <w:rsid w:val="00B30265"/>
    <w:rsid w:val="00B30A31"/>
    <w:rsid w:val="00B31A5C"/>
    <w:rsid w:val="00B31A64"/>
    <w:rsid w:val="00B34120"/>
    <w:rsid w:val="00B3442B"/>
    <w:rsid w:val="00B344AB"/>
    <w:rsid w:val="00B34F0D"/>
    <w:rsid w:val="00B35ADD"/>
    <w:rsid w:val="00B35BC2"/>
    <w:rsid w:val="00B35C50"/>
    <w:rsid w:val="00B35D68"/>
    <w:rsid w:val="00B363A8"/>
    <w:rsid w:val="00B3681B"/>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38"/>
    <w:rsid w:val="00B45F96"/>
    <w:rsid w:val="00B4708F"/>
    <w:rsid w:val="00B4739E"/>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1F3"/>
    <w:rsid w:val="00B658C6"/>
    <w:rsid w:val="00B65C28"/>
    <w:rsid w:val="00B70E9E"/>
    <w:rsid w:val="00B717CA"/>
    <w:rsid w:val="00B72354"/>
    <w:rsid w:val="00B728AB"/>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3B43"/>
    <w:rsid w:val="00B846E9"/>
    <w:rsid w:val="00B84FAB"/>
    <w:rsid w:val="00B85ED2"/>
    <w:rsid w:val="00B860DB"/>
    <w:rsid w:val="00B86533"/>
    <w:rsid w:val="00B87013"/>
    <w:rsid w:val="00B87098"/>
    <w:rsid w:val="00B87418"/>
    <w:rsid w:val="00B87D05"/>
    <w:rsid w:val="00B9201A"/>
    <w:rsid w:val="00B9254A"/>
    <w:rsid w:val="00B92B2E"/>
    <w:rsid w:val="00B92CF7"/>
    <w:rsid w:val="00B93704"/>
    <w:rsid w:val="00B941FC"/>
    <w:rsid w:val="00B9442E"/>
    <w:rsid w:val="00B94E6D"/>
    <w:rsid w:val="00B95792"/>
    <w:rsid w:val="00B958BC"/>
    <w:rsid w:val="00B95EC0"/>
    <w:rsid w:val="00B96676"/>
    <w:rsid w:val="00B96918"/>
    <w:rsid w:val="00B969C3"/>
    <w:rsid w:val="00B96EEF"/>
    <w:rsid w:val="00B970CD"/>
    <w:rsid w:val="00B973FB"/>
    <w:rsid w:val="00B97C92"/>
    <w:rsid w:val="00B97FBC"/>
    <w:rsid w:val="00BA014D"/>
    <w:rsid w:val="00BA12FF"/>
    <w:rsid w:val="00BA25EF"/>
    <w:rsid w:val="00BA2B99"/>
    <w:rsid w:val="00BA3630"/>
    <w:rsid w:val="00BA3AEA"/>
    <w:rsid w:val="00BA46A4"/>
    <w:rsid w:val="00BA4A89"/>
    <w:rsid w:val="00BA55D6"/>
    <w:rsid w:val="00BA5BFE"/>
    <w:rsid w:val="00BA5D1C"/>
    <w:rsid w:val="00BA62A9"/>
    <w:rsid w:val="00BB06AE"/>
    <w:rsid w:val="00BB250D"/>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0E6"/>
    <w:rsid w:val="00BD188E"/>
    <w:rsid w:val="00BD25EB"/>
    <w:rsid w:val="00BD2819"/>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762"/>
    <w:rsid w:val="00BE22FC"/>
    <w:rsid w:val="00BE290C"/>
    <w:rsid w:val="00BE31B1"/>
    <w:rsid w:val="00BE4843"/>
    <w:rsid w:val="00BE4A16"/>
    <w:rsid w:val="00BE4A46"/>
    <w:rsid w:val="00BE4C21"/>
    <w:rsid w:val="00BE6642"/>
    <w:rsid w:val="00BE7852"/>
    <w:rsid w:val="00BE7ADD"/>
    <w:rsid w:val="00BE7BA6"/>
    <w:rsid w:val="00BF0050"/>
    <w:rsid w:val="00BF1282"/>
    <w:rsid w:val="00BF2BD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4DF7"/>
    <w:rsid w:val="00C252AE"/>
    <w:rsid w:val="00C2533D"/>
    <w:rsid w:val="00C25366"/>
    <w:rsid w:val="00C253C4"/>
    <w:rsid w:val="00C25452"/>
    <w:rsid w:val="00C25A17"/>
    <w:rsid w:val="00C260DD"/>
    <w:rsid w:val="00C26EFC"/>
    <w:rsid w:val="00C27A85"/>
    <w:rsid w:val="00C27F1A"/>
    <w:rsid w:val="00C3002B"/>
    <w:rsid w:val="00C30295"/>
    <w:rsid w:val="00C32AB4"/>
    <w:rsid w:val="00C340B3"/>
    <w:rsid w:val="00C34BD0"/>
    <w:rsid w:val="00C34C3A"/>
    <w:rsid w:val="00C36519"/>
    <w:rsid w:val="00C3771F"/>
    <w:rsid w:val="00C3775C"/>
    <w:rsid w:val="00C37F46"/>
    <w:rsid w:val="00C402A1"/>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14CB"/>
    <w:rsid w:val="00C62899"/>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E23"/>
    <w:rsid w:val="00C75315"/>
    <w:rsid w:val="00C7569E"/>
    <w:rsid w:val="00C77076"/>
    <w:rsid w:val="00C7749D"/>
    <w:rsid w:val="00C778E1"/>
    <w:rsid w:val="00C83374"/>
    <w:rsid w:val="00C833A9"/>
    <w:rsid w:val="00C85CD7"/>
    <w:rsid w:val="00C86E80"/>
    <w:rsid w:val="00C87314"/>
    <w:rsid w:val="00C87E57"/>
    <w:rsid w:val="00C900E5"/>
    <w:rsid w:val="00C903C1"/>
    <w:rsid w:val="00C90432"/>
    <w:rsid w:val="00C904D0"/>
    <w:rsid w:val="00C91B00"/>
    <w:rsid w:val="00C91D63"/>
    <w:rsid w:val="00C9277A"/>
    <w:rsid w:val="00C940E9"/>
    <w:rsid w:val="00C94270"/>
    <w:rsid w:val="00C945AE"/>
    <w:rsid w:val="00C95493"/>
    <w:rsid w:val="00C954F0"/>
    <w:rsid w:val="00C956ED"/>
    <w:rsid w:val="00C967CC"/>
    <w:rsid w:val="00C973B8"/>
    <w:rsid w:val="00CA0FA7"/>
    <w:rsid w:val="00CA129A"/>
    <w:rsid w:val="00CA1416"/>
    <w:rsid w:val="00CA5160"/>
    <w:rsid w:val="00CA51A6"/>
    <w:rsid w:val="00CA5694"/>
    <w:rsid w:val="00CA5A12"/>
    <w:rsid w:val="00CA6C8B"/>
    <w:rsid w:val="00CA6D7D"/>
    <w:rsid w:val="00CA7B52"/>
    <w:rsid w:val="00CB0A5D"/>
    <w:rsid w:val="00CB17E1"/>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1AD3"/>
    <w:rsid w:val="00CC2BBD"/>
    <w:rsid w:val="00CC2D0B"/>
    <w:rsid w:val="00CC2FF9"/>
    <w:rsid w:val="00CC47EC"/>
    <w:rsid w:val="00CC4991"/>
    <w:rsid w:val="00CC4B36"/>
    <w:rsid w:val="00CC6A84"/>
    <w:rsid w:val="00CC7A7A"/>
    <w:rsid w:val="00CD00A1"/>
    <w:rsid w:val="00CD034B"/>
    <w:rsid w:val="00CD0979"/>
    <w:rsid w:val="00CD09FF"/>
    <w:rsid w:val="00CD0BE6"/>
    <w:rsid w:val="00CD0CD1"/>
    <w:rsid w:val="00CD1688"/>
    <w:rsid w:val="00CD186A"/>
    <w:rsid w:val="00CD195E"/>
    <w:rsid w:val="00CD25B5"/>
    <w:rsid w:val="00CD2727"/>
    <w:rsid w:val="00CD2A43"/>
    <w:rsid w:val="00CD3888"/>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2"/>
    <w:rsid w:val="00CF0174"/>
    <w:rsid w:val="00CF0699"/>
    <w:rsid w:val="00CF0C0F"/>
    <w:rsid w:val="00CF21C3"/>
    <w:rsid w:val="00CF3FB1"/>
    <w:rsid w:val="00CF44AB"/>
    <w:rsid w:val="00CF4861"/>
    <w:rsid w:val="00CF4D9C"/>
    <w:rsid w:val="00CF5B39"/>
    <w:rsid w:val="00CF5C5D"/>
    <w:rsid w:val="00CF6CD0"/>
    <w:rsid w:val="00CF713C"/>
    <w:rsid w:val="00D01D3D"/>
    <w:rsid w:val="00D02BA8"/>
    <w:rsid w:val="00D03575"/>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4D5E"/>
    <w:rsid w:val="00D15125"/>
    <w:rsid w:val="00D15468"/>
    <w:rsid w:val="00D1556C"/>
    <w:rsid w:val="00D157BF"/>
    <w:rsid w:val="00D15A4B"/>
    <w:rsid w:val="00D179F0"/>
    <w:rsid w:val="00D21194"/>
    <w:rsid w:val="00D21784"/>
    <w:rsid w:val="00D21DED"/>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56EBA"/>
    <w:rsid w:val="00D601EB"/>
    <w:rsid w:val="00D609E8"/>
    <w:rsid w:val="00D611AC"/>
    <w:rsid w:val="00D6194F"/>
    <w:rsid w:val="00D62905"/>
    <w:rsid w:val="00D63619"/>
    <w:rsid w:val="00D63C0F"/>
    <w:rsid w:val="00D63D6C"/>
    <w:rsid w:val="00D64141"/>
    <w:rsid w:val="00D65A5D"/>
    <w:rsid w:val="00D66133"/>
    <w:rsid w:val="00D6655B"/>
    <w:rsid w:val="00D668A0"/>
    <w:rsid w:val="00D67043"/>
    <w:rsid w:val="00D67078"/>
    <w:rsid w:val="00D7008E"/>
    <w:rsid w:val="00D73353"/>
    <w:rsid w:val="00D734A3"/>
    <w:rsid w:val="00D73506"/>
    <w:rsid w:val="00D752A4"/>
    <w:rsid w:val="00D75B5A"/>
    <w:rsid w:val="00D75FBB"/>
    <w:rsid w:val="00D76CA5"/>
    <w:rsid w:val="00D779B7"/>
    <w:rsid w:val="00D81FFB"/>
    <w:rsid w:val="00D8342D"/>
    <w:rsid w:val="00D83F23"/>
    <w:rsid w:val="00D844CB"/>
    <w:rsid w:val="00D8479A"/>
    <w:rsid w:val="00D853B3"/>
    <w:rsid w:val="00D85434"/>
    <w:rsid w:val="00D85DE4"/>
    <w:rsid w:val="00D8614D"/>
    <w:rsid w:val="00D867C8"/>
    <w:rsid w:val="00D86902"/>
    <w:rsid w:val="00D8767B"/>
    <w:rsid w:val="00D90106"/>
    <w:rsid w:val="00D91B26"/>
    <w:rsid w:val="00D92744"/>
    <w:rsid w:val="00D9277D"/>
    <w:rsid w:val="00D927F9"/>
    <w:rsid w:val="00D92B9F"/>
    <w:rsid w:val="00D92CEC"/>
    <w:rsid w:val="00D92DDD"/>
    <w:rsid w:val="00D9357E"/>
    <w:rsid w:val="00D94498"/>
    <w:rsid w:val="00D94BF7"/>
    <w:rsid w:val="00D95970"/>
    <w:rsid w:val="00D96360"/>
    <w:rsid w:val="00D96373"/>
    <w:rsid w:val="00D96726"/>
    <w:rsid w:val="00D9692B"/>
    <w:rsid w:val="00D96963"/>
    <w:rsid w:val="00D972A9"/>
    <w:rsid w:val="00D9761D"/>
    <w:rsid w:val="00D977A3"/>
    <w:rsid w:val="00D978EA"/>
    <w:rsid w:val="00DA18E9"/>
    <w:rsid w:val="00DA1E33"/>
    <w:rsid w:val="00DA1FA2"/>
    <w:rsid w:val="00DA1FB2"/>
    <w:rsid w:val="00DA2EC8"/>
    <w:rsid w:val="00DA4159"/>
    <w:rsid w:val="00DA4A0D"/>
    <w:rsid w:val="00DA5846"/>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1E6"/>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7F0"/>
    <w:rsid w:val="00DE5E9D"/>
    <w:rsid w:val="00DE6F37"/>
    <w:rsid w:val="00DF06FD"/>
    <w:rsid w:val="00DF0A93"/>
    <w:rsid w:val="00DF1FA1"/>
    <w:rsid w:val="00DF276A"/>
    <w:rsid w:val="00DF2918"/>
    <w:rsid w:val="00DF2E20"/>
    <w:rsid w:val="00DF370E"/>
    <w:rsid w:val="00DF3F92"/>
    <w:rsid w:val="00DF4E5C"/>
    <w:rsid w:val="00DF4F7B"/>
    <w:rsid w:val="00DF5F11"/>
    <w:rsid w:val="00DF627B"/>
    <w:rsid w:val="00DF671E"/>
    <w:rsid w:val="00DF674C"/>
    <w:rsid w:val="00DF6DE6"/>
    <w:rsid w:val="00DF78EF"/>
    <w:rsid w:val="00DF79A9"/>
    <w:rsid w:val="00DF7B52"/>
    <w:rsid w:val="00DF7CD8"/>
    <w:rsid w:val="00E0020C"/>
    <w:rsid w:val="00E00B17"/>
    <w:rsid w:val="00E018B7"/>
    <w:rsid w:val="00E0194E"/>
    <w:rsid w:val="00E03C0D"/>
    <w:rsid w:val="00E03F1F"/>
    <w:rsid w:val="00E04076"/>
    <w:rsid w:val="00E04494"/>
    <w:rsid w:val="00E0474E"/>
    <w:rsid w:val="00E06310"/>
    <w:rsid w:val="00E103ED"/>
    <w:rsid w:val="00E103FF"/>
    <w:rsid w:val="00E10A07"/>
    <w:rsid w:val="00E10E13"/>
    <w:rsid w:val="00E11209"/>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3F0"/>
    <w:rsid w:val="00E30469"/>
    <w:rsid w:val="00E30539"/>
    <w:rsid w:val="00E31066"/>
    <w:rsid w:val="00E31D61"/>
    <w:rsid w:val="00E328C2"/>
    <w:rsid w:val="00E33296"/>
    <w:rsid w:val="00E34812"/>
    <w:rsid w:val="00E35933"/>
    <w:rsid w:val="00E359F3"/>
    <w:rsid w:val="00E35E1C"/>
    <w:rsid w:val="00E375A7"/>
    <w:rsid w:val="00E37691"/>
    <w:rsid w:val="00E377DA"/>
    <w:rsid w:val="00E3798E"/>
    <w:rsid w:val="00E37FCD"/>
    <w:rsid w:val="00E42820"/>
    <w:rsid w:val="00E4317B"/>
    <w:rsid w:val="00E432E2"/>
    <w:rsid w:val="00E43D2B"/>
    <w:rsid w:val="00E43DF4"/>
    <w:rsid w:val="00E4450C"/>
    <w:rsid w:val="00E450E2"/>
    <w:rsid w:val="00E45739"/>
    <w:rsid w:val="00E502C5"/>
    <w:rsid w:val="00E50457"/>
    <w:rsid w:val="00E5056F"/>
    <w:rsid w:val="00E50CC7"/>
    <w:rsid w:val="00E542DE"/>
    <w:rsid w:val="00E55463"/>
    <w:rsid w:val="00E5598D"/>
    <w:rsid w:val="00E559AA"/>
    <w:rsid w:val="00E55A9C"/>
    <w:rsid w:val="00E56039"/>
    <w:rsid w:val="00E5648E"/>
    <w:rsid w:val="00E577B4"/>
    <w:rsid w:val="00E6097C"/>
    <w:rsid w:val="00E614F3"/>
    <w:rsid w:val="00E61DE5"/>
    <w:rsid w:val="00E6220E"/>
    <w:rsid w:val="00E62425"/>
    <w:rsid w:val="00E640C5"/>
    <w:rsid w:val="00E648D9"/>
    <w:rsid w:val="00E65089"/>
    <w:rsid w:val="00E65AD6"/>
    <w:rsid w:val="00E65F94"/>
    <w:rsid w:val="00E66029"/>
    <w:rsid w:val="00E66302"/>
    <w:rsid w:val="00E6752F"/>
    <w:rsid w:val="00E6761B"/>
    <w:rsid w:val="00E67AA6"/>
    <w:rsid w:val="00E67F9B"/>
    <w:rsid w:val="00E70CA8"/>
    <w:rsid w:val="00E716FC"/>
    <w:rsid w:val="00E71FE1"/>
    <w:rsid w:val="00E72674"/>
    <w:rsid w:val="00E726E3"/>
    <w:rsid w:val="00E72BFB"/>
    <w:rsid w:val="00E72E01"/>
    <w:rsid w:val="00E7324D"/>
    <w:rsid w:val="00E73871"/>
    <w:rsid w:val="00E73C1D"/>
    <w:rsid w:val="00E73E0B"/>
    <w:rsid w:val="00E7426F"/>
    <w:rsid w:val="00E74535"/>
    <w:rsid w:val="00E7498B"/>
    <w:rsid w:val="00E74BA2"/>
    <w:rsid w:val="00E74BEA"/>
    <w:rsid w:val="00E75223"/>
    <w:rsid w:val="00E75992"/>
    <w:rsid w:val="00E75994"/>
    <w:rsid w:val="00E76187"/>
    <w:rsid w:val="00E7669F"/>
    <w:rsid w:val="00E766A5"/>
    <w:rsid w:val="00E766F4"/>
    <w:rsid w:val="00E76EBD"/>
    <w:rsid w:val="00E77AFF"/>
    <w:rsid w:val="00E80E56"/>
    <w:rsid w:val="00E80F1B"/>
    <w:rsid w:val="00E81ABC"/>
    <w:rsid w:val="00E81B1E"/>
    <w:rsid w:val="00E81B60"/>
    <w:rsid w:val="00E81CA9"/>
    <w:rsid w:val="00E82759"/>
    <w:rsid w:val="00E82911"/>
    <w:rsid w:val="00E8318C"/>
    <w:rsid w:val="00E8359C"/>
    <w:rsid w:val="00E837ED"/>
    <w:rsid w:val="00E83D4F"/>
    <w:rsid w:val="00E842F7"/>
    <w:rsid w:val="00E84378"/>
    <w:rsid w:val="00E84D88"/>
    <w:rsid w:val="00E84DA2"/>
    <w:rsid w:val="00E84EAB"/>
    <w:rsid w:val="00E86164"/>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43E"/>
    <w:rsid w:val="00EA5703"/>
    <w:rsid w:val="00EA6C98"/>
    <w:rsid w:val="00EB045D"/>
    <w:rsid w:val="00EB0D09"/>
    <w:rsid w:val="00EB143E"/>
    <w:rsid w:val="00EB1697"/>
    <w:rsid w:val="00EB20AC"/>
    <w:rsid w:val="00EB2E8C"/>
    <w:rsid w:val="00EB3416"/>
    <w:rsid w:val="00EB36E3"/>
    <w:rsid w:val="00EB515D"/>
    <w:rsid w:val="00EB5539"/>
    <w:rsid w:val="00EB5E54"/>
    <w:rsid w:val="00EB606F"/>
    <w:rsid w:val="00EB6EDF"/>
    <w:rsid w:val="00EB7621"/>
    <w:rsid w:val="00EB79A7"/>
    <w:rsid w:val="00EC099D"/>
    <w:rsid w:val="00EC1A50"/>
    <w:rsid w:val="00EC2289"/>
    <w:rsid w:val="00EC2651"/>
    <w:rsid w:val="00EC2D84"/>
    <w:rsid w:val="00EC4F7E"/>
    <w:rsid w:val="00EC5065"/>
    <w:rsid w:val="00EC5545"/>
    <w:rsid w:val="00EC5BD4"/>
    <w:rsid w:val="00EC6412"/>
    <w:rsid w:val="00EC65AA"/>
    <w:rsid w:val="00EC665E"/>
    <w:rsid w:val="00EC66ED"/>
    <w:rsid w:val="00EC6898"/>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1FC5"/>
    <w:rsid w:val="00EE2F6F"/>
    <w:rsid w:val="00EE3173"/>
    <w:rsid w:val="00EE3716"/>
    <w:rsid w:val="00EE3DD0"/>
    <w:rsid w:val="00EE4308"/>
    <w:rsid w:val="00EE46CC"/>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6CB8"/>
    <w:rsid w:val="00EF77ED"/>
    <w:rsid w:val="00EF791E"/>
    <w:rsid w:val="00F00537"/>
    <w:rsid w:val="00F0054C"/>
    <w:rsid w:val="00F01820"/>
    <w:rsid w:val="00F02CDD"/>
    <w:rsid w:val="00F03544"/>
    <w:rsid w:val="00F0366C"/>
    <w:rsid w:val="00F04061"/>
    <w:rsid w:val="00F042B9"/>
    <w:rsid w:val="00F046D3"/>
    <w:rsid w:val="00F047ED"/>
    <w:rsid w:val="00F05662"/>
    <w:rsid w:val="00F06431"/>
    <w:rsid w:val="00F07190"/>
    <w:rsid w:val="00F10B13"/>
    <w:rsid w:val="00F10E0B"/>
    <w:rsid w:val="00F110ED"/>
    <w:rsid w:val="00F11816"/>
    <w:rsid w:val="00F11E57"/>
    <w:rsid w:val="00F12859"/>
    <w:rsid w:val="00F12B64"/>
    <w:rsid w:val="00F14189"/>
    <w:rsid w:val="00F14C89"/>
    <w:rsid w:val="00F15357"/>
    <w:rsid w:val="00F156C5"/>
    <w:rsid w:val="00F15EBC"/>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5AD"/>
    <w:rsid w:val="00F35990"/>
    <w:rsid w:val="00F36075"/>
    <w:rsid w:val="00F3674F"/>
    <w:rsid w:val="00F368CE"/>
    <w:rsid w:val="00F36C86"/>
    <w:rsid w:val="00F379A6"/>
    <w:rsid w:val="00F409E1"/>
    <w:rsid w:val="00F410B5"/>
    <w:rsid w:val="00F41539"/>
    <w:rsid w:val="00F41CE1"/>
    <w:rsid w:val="00F43E01"/>
    <w:rsid w:val="00F45663"/>
    <w:rsid w:val="00F458FF"/>
    <w:rsid w:val="00F460FF"/>
    <w:rsid w:val="00F464F7"/>
    <w:rsid w:val="00F500F4"/>
    <w:rsid w:val="00F50DBA"/>
    <w:rsid w:val="00F5124D"/>
    <w:rsid w:val="00F51572"/>
    <w:rsid w:val="00F520F8"/>
    <w:rsid w:val="00F525CA"/>
    <w:rsid w:val="00F53293"/>
    <w:rsid w:val="00F53A12"/>
    <w:rsid w:val="00F5481D"/>
    <w:rsid w:val="00F54BAA"/>
    <w:rsid w:val="00F55210"/>
    <w:rsid w:val="00F56E3E"/>
    <w:rsid w:val="00F578F6"/>
    <w:rsid w:val="00F60E13"/>
    <w:rsid w:val="00F61DF4"/>
    <w:rsid w:val="00F63820"/>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5DF4"/>
    <w:rsid w:val="00F75FEB"/>
    <w:rsid w:val="00F7625A"/>
    <w:rsid w:val="00F764FF"/>
    <w:rsid w:val="00F805B3"/>
    <w:rsid w:val="00F837B2"/>
    <w:rsid w:val="00F8405F"/>
    <w:rsid w:val="00F861EF"/>
    <w:rsid w:val="00F86626"/>
    <w:rsid w:val="00F86721"/>
    <w:rsid w:val="00F87D25"/>
    <w:rsid w:val="00F902F7"/>
    <w:rsid w:val="00F90DC5"/>
    <w:rsid w:val="00F912E0"/>
    <w:rsid w:val="00F91752"/>
    <w:rsid w:val="00F91B60"/>
    <w:rsid w:val="00F91DFA"/>
    <w:rsid w:val="00F91E39"/>
    <w:rsid w:val="00F92356"/>
    <w:rsid w:val="00F92650"/>
    <w:rsid w:val="00F92E78"/>
    <w:rsid w:val="00F9306D"/>
    <w:rsid w:val="00F94AB8"/>
    <w:rsid w:val="00F95C0A"/>
    <w:rsid w:val="00F96F81"/>
    <w:rsid w:val="00F9741D"/>
    <w:rsid w:val="00F97515"/>
    <w:rsid w:val="00F979EB"/>
    <w:rsid w:val="00F97EE4"/>
    <w:rsid w:val="00FA11A0"/>
    <w:rsid w:val="00FA1343"/>
    <w:rsid w:val="00FA1B2A"/>
    <w:rsid w:val="00FA1ED7"/>
    <w:rsid w:val="00FA290E"/>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7390"/>
    <w:rsid w:val="00FB754A"/>
    <w:rsid w:val="00FC00C8"/>
    <w:rsid w:val="00FC1334"/>
    <w:rsid w:val="00FC142B"/>
    <w:rsid w:val="00FC2256"/>
    <w:rsid w:val="00FC2D80"/>
    <w:rsid w:val="00FC3060"/>
    <w:rsid w:val="00FC3354"/>
    <w:rsid w:val="00FC3FC6"/>
    <w:rsid w:val="00FC4960"/>
    <w:rsid w:val="00FC5F98"/>
    <w:rsid w:val="00FC5FEC"/>
    <w:rsid w:val="00FC639E"/>
    <w:rsid w:val="00FC645D"/>
    <w:rsid w:val="00FC65DA"/>
    <w:rsid w:val="00FC6809"/>
    <w:rsid w:val="00FC7B20"/>
    <w:rsid w:val="00FD0105"/>
    <w:rsid w:val="00FD021F"/>
    <w:rsid w:val="00FD0ABD"/>
    <w:rsid w:val="00FD1E69"/>
    <w:rsid w:val="00FD28F9"/>
    <w:rsid w:val="00FD2C59"/>
    <w:rsid w:val="00FD2CC7"/>
    <w:rsid w:val="00FD2EAD"/>
    <w:rsid w:val="00FD3B8C"/>
    <w:rsid w:val="00FD41EE"/>
    <w:rsid w:val="00FD469E"/>
    <w:rsid w:val="00FD4AAC"/>
    <w:rsid w:val="00FD4B49"/>
    <w:rsid w:val="00FD52A0"/>
    <w:rsid w:val="00FD52BE"/>
    <w:rsid w:val="00FD53EB"/>
    <w:rsid w:val="00FD58E9"/>
    <w:rsid w:val="00FD6EF9"/>
    <w:rsid w:val="00FD75DD"/>
    <w:rsid w:val="00FD7DB7"/>
    <w:rsid w:val="00FD7E28"/>
    <w:rsid w:val="00FE044B"/>
    <w:rsid w:val="00FE0555"/>
    <w:rsid w:val="00FE0EA1"/>
    <w:rsid w:val="00FE1092"/>
    <w:rsid w:val="00FE1A61"/>
    <w:rsid w:val="00FE1DE1"/>
    <w:rsid w:val="00FE20D6"/>
    <w:rsid w:val="00FE2220"/>
    <w:rsid w:val="00FE2628"/>
    <w:rsid w:val="00FE34B0"/>
    <w:rsid w:val="00FE4CD0"/>
    <w:rsid w:val="00FE5144"/>
    <w:rsid w:val="00FE5E8B"/>
    <w:rsid w:val="00FE687C"/>
    <w:rsid w:val="00FE6AA8"/>
    <w:rsid w:val="00FE761D"/>
    <w:rsid w:val="00FE7EEA"/>
    <w:rsid w:val="00FE7FE6"/>
    <w:rsid w:val="00FF08DA"/>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216E"/>
  </w:style>
  <w:style w:type="paragraph" w:styleId="BodyTextIndent">
    <w:name w:val="Body Text Indent"/>
    <w:basedOn w:val="Normal"/>
    <w:rsid w:val="0050216E"/>
    <w:pPr>
      <w:ind w:left="720"/>
    </w:pPr>
    <w:rPr>
      <w:b/>
      <w:bCs/>
    </w:rPr>
  </w:style>
  <w:style w:type="paragraph" w:customStyle="1" w:styleId="normalpuce">
    <w:name w:val="normal puce"/>
    <w:basedOn w:val="Normal"/>
    <w:rsid w:val="0050216E"/>
    <w:pPr>
      <w:tabs>
        <w:tab w:val="num" w:pos="360"/>
      </w:tabs>
      <w:ind w:left="360" w:hanging="360"/>
    </w:pPr>
  </w:style>
  <w:style w:type="paragraph" w:customStyle="1" w:styleId="B1">
    <w:name w:val="B1"/>
    <w:basedOn w:val="Lis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rsid w:val="0050216E"/>
    <w:pPr>
      <w:keepNext/>
      <w:keepLines/>
    </w:pPr>
    <w:rPr>
      <w:b/>
      <w:bCs/>
    </w:rPr>
  </w:style>
  <w:style w:type="character" w:styleId="Hyperlink">
    <w:name w:val="Hyperlink"/>
    <w:uiPriority w:val="99"/>
    <w:rsid w:val="0050216E"/>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qFormat/>
    <w:rsid w:val="00B75F7D"/>
    <w:rPr>
      <w:b/>
      <w:bCs/>
    </w:rPr>
  </w:style>
  <w:style w:type="paragraph" w:styleId="Footer">
    <w:name w:val="footer"/>
    <w:basedOn w:val="Header"/>
    <w:link w:val="FooterChar"/>
    <w:uiPriority w:val="99"/>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uiPriority w:val="99"/>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1">
    <w:name w:val="LGTdoc_제목1"/>
    <w:basedOn w:val="Normal"/>
    <w:rsid w:val="000C3C82"/>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Caption">
    <w:name w:val="caption"/>
    <w:basedOn w:val="Normal"/>
    <w:next w:val="Normal"/>
    <w:uiPriority w:val="35"/>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paragraph" w:styleId="ListParagraph">
    <w:name w:val="List Paragraph"/>
    <w:basedOn w:val="Normal"/>
    <w:uiPriority w:val="34"/>
    <w:qFormat/>
    <w:rsid w:val="00421174"/>
    <w:pPr>
      <w:overflowPunct/>
      <w:autoSpaceDE/>
      <w:autoSpaceDN/>
      <w:adjustRightInd/>
      <w:spacing w:after="0"/>
      <w:ind w:left="720"/>
      <w:contextualSpacing/>
      <w:textAlignment w:val="auto"/>
    </w:pPr>
    <w:rPr>
      <w:sz w:val="24"/>
      <w:szCs w:val="24"/>
      <w:lang w:val="en-US" w:eastAsia="zh-CN"/>
    </w:rPr>
  </w:style>
  <w:style w:type="table" w:styleId="TableGrid">
    <w:name w:val="Table Grid"/>
    <w:basedOn w:val="TableNormal"/>
    <w:uiPriority w:val="39"/>
    <w:rsid w:val="00FA13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731CF6"/>
    <w:rPr>
      <w:rFonts w:ascii="Arial" w:eastAsia="Times New Roman"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300228472">
      <w:bodyDiv w:val="1"/>
      <w:marLeft w:val="0"/>
      <w:marRight w:val="0"/>
      <w:marTop w:val="0"/>
      <w:marBottom w:val="0"/>
      <w:divBdr>
        <w:top w:val="none" w:sz="0" w:space="0" w:color="auto"/>
        <w:left w:val="none" w:sz="0" w:space="0" w:color="auto"/>
        <w:bottom w:val="none" w:sz="0" w:space="0" w:color="auto"/>
        <w:right w:val="none" w:sz="0" w:space="0" w:color="auto"/>
      </w:divBdr>
      <w:divsChild>
        <w:div w:id="484013011">
          <w:marLeft w:val="1440"/>
          <w:marRight w:val="0"/>
          <w:marTop w:val="0"/>
          <w:marBottom w:val="0"/>
          <w:divBdr>
            <w:top w:val="none" w:sz="0" w:space="0" w:color="auto"/>
            <w:left w:val="none" w:sz="0" w:space="0" w:color="auto"/>
            <w:bottom w:val="none" w:sz="0" w:space="0" w:color="auto"/>
            <w:right w:val="none" w:sz="0" w:space="0" w:color="auto"/>
          </w:divBdr>
        </w:div>
      </w:divsChild>
    </w:div>
    <w:div w:id="433676456">
      <w:bodyDiv w:val="1"/>
      <w:marLeft w:val="0"/>
      <w:marRight w:val="0"/>
      <w:marTop w:val="0"/>
      <w:marBottom w:val="0"/>
      <w:divBdr>
        <w:top w:val="none" w:sz="0" w:space="0" w:color="auto"/>
        <w:left w:val="none" w:sz="0" w:space="0" w:color="auto"/>
        <w:bottom w:val="none" w:sz="0" w:space="0" w:color="auto"/>
        <w:right w:val="none" w:sz="0" w:space="0" w:color="auto"/>
      </w:divBdr>
      <w:divsChild>
        <w:div w:id="1001464848">
          <w:marLeft w:val="1800"/>
          <w:marRight w:val="0"/>
          <w:marTop w:val="100"/>
          <w:marBottom w:val="0"/>
          <w:divBdr>
            <w:top w:val="none" w:sz="0" w:space="0" w:color="auto"/>
            <w:left w:val="none" w:sz="0" w:space="0" w:color="auto"/>
            <w:bottom w:val="none" w:sz="0" w:space="0" w:color="auto"/>
            <w:right w:val="none" w:sz="0" w:space="0" w:color="auto"/>
          </w:divBdr>
        </w:div>
        <w:div w:id="1015107751">
          <w:marLeft w:val="1080"/>
          <w:marRight w:val="0"/>
          <w:marTop w:val="100"/>
          <w:marBottom w:val="0"/>
          <w:divBdr>
            <w:top w:val="none" w:sz="0" w:space="0" w:color="auto"/>
            <w:left w:val="none" w:sz="0" w:space="0" w:color="auto"/>
            <w:bottom w:val="none" w:sz="0" w:space="0" w:color="auto"/>
            <w:right w:val="none" w:sz="0" w:space="0" w:color="auto"/>
          </w:divBdr>
        </w:div>
        <w:div w:id="1148014169">
          <w:marLeft w:val="1800"/>
          <w:marRight w:val="0"/>
          <w:marTop w:val="100"/>
          <w:marBottom w:val="0"/>
          <w:divBdr>
            <w:top w:val="none" w:sz="0" w:space="0" w:color="auto"/>
            <w:left w:val="none" w:sz="0" w:space="0" w:color="auto"/>
            <w:bottom w:val="none" w:sz="0" w:space="0" w:color="auto"/>
            <w:right w:val="none" w:sz="0" w:space="0" w:color="auto"/>
          </w:divBdr>
        </w:div>
      </w:divsChild>
    </w:div>
    <w:div w:id="551885742">
      <w:bodyDiv w:val="1"/>
      <w:marLeft w:val="0"/>
      <w:marRight w:val="0"/>
      <w:marTop w:val="0"/>
      <w:marBottom w:val="0"/>
      <w:divBdr>
        <w:top w:val="none" w:sz="0" w:space="0" w:color="auto"/>
        <w:left w:val="none" w:sz="0" w:space="0" w:color="auto"/>
        <w:bottom w:val="none" w:sz="0" w:space="0" w:color="auto"/>
        <w:right w:val="none" w:sz="0" w:space="0" w:color="auto"/>
      </w:divBdr>
      <w:divsChild>
        <w:div w:id="993222949">
          <w:marLeft w:val="1800"/>
          <w:marRight w:val="0"/>
          <w:marTop w:val="77"/>
          <w:marBottom w:val="0"/>
          <w:divBdr>
            <w:top w:val="none" w:sz="0" w:space="0" w:color="auto"/>
            <w:left w:val="none" w:sz="0" w:space="0" w:color="auto"/>
            <w:bottom w:val="none" w:sz="0" w:space="0" w:color="auto"/>
            <w:right w:val="none" w:sz="0" w:space="0" w:color="auto"/>
          </w:divBdr>
        </w:div>
        <w:div w:id="2114860277">
          <w:marLeft w:val="1800"/>
          <w:marRight w:val="0"/>
          <w:marTop w:val="77"/>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0277038">
      <w:bodyDiv w:val="1"/>
      <w:marLeft w:val="0"/>
      <w:marRight w:val="0"/>
      <w:marTop w:val="0"/>
      <w:marBottom w:val="0"/>
      <w:divBdr>
        <w:top w:val="none" w:sz="0" w:space="0" w:color="auto"/>
        <w:left w:val="none" w:sz="0" w:space="0" w:color="auto"/>
        <w:bottom w:val="none" w:sz="0" w:space="0" w:color="auto"/>
        <w:right w:val="none" w:sz="0" w:space="0" w:color="auto"/>
      </w:divBdr>
      <w:divsChild>
        <w:div w:id="123692492">
          <w:marLeft w:val="547"/>
          <w:marRight w:val="0"/>
          <w:marTop w:val="86"/>
          <w:marBottom w:val="0"/>
          <w:divBdr>
            <w:top w:val="none" w:sz="0" w:space="0" w:color="auto"/>
            <w:left w:val="none" w:sz="0" w:space="0" w:color="auto"/>
            <w:bottom w:val="none" w:sz="0" w:space="0" w:color="auto"/>
            <w:right w:val="none" w:sz="0" w:space="0" w:color="auto"/>
          </w:divBdr>
        </w:div>
        <w:div w:id="509026430">
          <w:marLeft w:val="3240"/>
          <w:marRight w:val="0"/>
          <w:marTop w:val="77"/>
          <w:marBottom w:val="0"/>
          <w:divBdr>
            <w:top w:val="none" w:sz="0" w:space="0" w:color="auto"/>
            <w:left w:val="none" w:sz="0" w:space="0" w:color="auto"/>
            <w:bottom w:val="none" w:sz="0" w:space="0" w:color="auto"/>
            <w:right w:val="none" w:sz="0" w:space="0" w:color="auto"/>
          </w:divBdr>
        </w:div>
        <w:div w:id="539440567">
          <w:marLeft w:val="2520"/>
          <w:marRight w:val="0"/>
          <w:marTop w:val="77"/>
          <w:marBottom w:val="0"/>
          <w:divBdr>
            <w:top w:val="none" w:sz="0" w:space="0" w:color="auto"/>
            <w:left w:val="none" w:sz="0" w:space="0" w:color="auto"/>
            <w:bottom w:val="none" w:sz="0" w:space="0" w:color="auto"/>
            <w:right w:val="none" w:sz="0" w:space="0" w:color="auto"/>
          </w:divBdr>
        </w:div>
        <w:div w:id="649867300">
          <w:marLeft w:val="1800"/>
          <w:marRight w:val="0"/>
          <w:marTop w:val="77"/>
          <w:marBottom w:val="0"/>
          <w:divBdr>
            <w:top w:val="none" w:sz="0" w:space="0" w:color="auto"/>
            <w:left w:val="none" w:sz="0" w:space="0" w:color="auto"/>
            <w:bottom w:val="none" w:sz="0" w:space="0" w:color="auto"/>
            <w:right w:val="none" w:sz="0" w:space="0" w:color="auto"/>
          </w:divBdr>
        </w:div>
        <w:div w:id="769813814">
          <w:marLeft w:val="2520"/>
          <w:marRight w:val="0"/>
          <w:marTop w:val="77"/>
          <w:marBottom w:val="0"/>
          <w:divBdr>
            <w:top w:val="none" w:sz="0" w:space="0" w:color="auto"/>
            <w:left w:val="none" w:sz="0" w:space="0" w:color="auto"/>
            <w:bottom w:val="none" w:sz="0" w:space="0" w:color="auto"/>
            <w:right w:val="none" w:sz="0" w:space="0" w:color="auto"/>
          </w:divBdr>
        </w:div>
        <w:div w:id="1144662038">
          <w:marLeft w:val="3240"/>
          <w:marRight w:val="0"/>
          <w:marTop w:val="77"/>
          <w:marBottom w:val="0"/>
          <w:divBdr>
            <w:top w:val="none" w:sz="0" w:space="0" w:color="auto"/>
            <w:left w:val="none" w:sz="0" w:space="0" w:color="auto"/>
            <w:bottom w:val="none" w:sz="0" w:space="0" w:color="auto"/>
            <w:right w:val="none" w:sz="0" w:space="0" w:color="auto"/>
          </w:divBdr>
        </w:div>
        <w:div w:id="1312053278">
          <w:marLeft w:val="1800"/>
          <w:marRight w:val="0"/>
          <w:marTop w:val="77"/>
          <w:marBottom w:val="0"/>
          <w:divBdr>
            <w:top w:val="none" w:sz="0" w:space="0" w:color="auto"/>
            <w:left w:val="none" w:sz="0" w:space="0" w:color="auto"/>
            <w:bottom w:val="none" w:sz="0" w:space="0" w:color="auto"/>
            <w:right w:val="none" w:sz="0" w:space="0" w:color="auto"/>
          </w:divBdr>
        </w:div>
        <w:div w:id="1454792274">
          <w:marLeft w:val="3240"/>
          <w:marRight w:val="0"/>
          <w:marTop w:val="77"/>
          <w:marBottom w:val="0"/>
          <w:divBdr>
            <w:top w:val="none" w:sz="0" w:space="0" w:color="auto"/>
            <w:left w:val="none" w:sz="0" w:space="0" w:color="auto"/>
            <w:bottom w:val="none" w:sz="0" w:space="0" w:color="auto"/>
            <w:right w:val="none" w:sz="0" w:space="0" w:color="auto"/>
          </w:divBdr>
        </w:div>
        <w:div w:id="1854372658">
          <w:marLeft w:val="1166"/>
          <w:marRight w:val="0"/>
          <w:marTop w:val="86"/>
          <w:marBottom w:val="0"/>
          <w:divBdr>
            <w:top w:val="none" w:sz="0" w:space="0" w:color="auto"/>
            <w:left w:val="none" w:sz="0" w:space="0" w:color="auto"/>
            <w:bottom w:val="none" w:sz="0" w:space="0" w:color="auto"/>
            <w:right w:val="none" w:sz="0" w:space="0" w:color="auto"/>
          </w:divBdr>
        </w:div>
        <w:div w:id="1968925504">
          <w:marLeft w:val="1800"/>
          <w:marRight w:val="0"/>
          <w:marTop w:val="77"/>
          <w:marBottom w:val="0"/>
          <w:divBdr>
            <w:top w:val="none" w:sz="0" w:space="0" w:color="auto"/>
            <w:left w:val="none" w:sz="0" w:space="0" w:color="auto"/>
            <w:bottom w:val="none" w:sz="0" w:space="0" w:color="auto"/>
            <w:right w:val="none" w:sz="0" w:space="0" w:color="auto"/>
          </w:divBdr>
        </w:div>
        <w:div w:id="2085759651">
          <w:marLeft w:val="1166"/>
          <w:marRight w:val="0"/>
          <w:marTop w:val="86"/>
          <w:marBottom w:val="0"/>
          <w:divBdr>
            <w:top w:val="none" w:sz="0" w:space="0" w:color="auto"/>
            <w:left w:val="none" w:sz="0" w:space="0" w:color="auto"/>
            <w:bottom w:val="none" w:sz="0" w:space="0" w:color="auto"/>
            <w:right w:val="none" w:sz="0" w:space="0" w:color="auto"/>
          </w:divBdr>
        </w:div>
      </w:divsChild>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1211F-87D5-4823-9B0C-E582745C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7</Pages>
  <Words>2654</Words>
  <Characters>15129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Workman</cp:lastModifiedBy>
  <cp:revision>14</cp:revision>
  <cp:lastPrinted>2016-11-15T09:23:00Z</cp:lastPrinted>
  <dcterms:created xsi:type="dcterms:W3CDTF">2017-09-04T15:29:00Z</dcterms:created>
  <dcterms:modified xsi:type="dcterms:W3CDTF">2017-09-04T21:06:00Z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